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16B1" w14:textId="61D2ECF7" w:rsidR="00CE66F3" w:rsidRPr="00CE66F3" w:rsidRDefault="004140BE" w:rsidP="00CA3565">
      <w:pPr>
        <w:spacing w:after="0"/>
        <w:rPr>
          <w:rFonts w:ascii="Arial" w:hAnsi="Arial" w:cs="Arial"/>
        </w:rPr>
      </w:pPr>
      <w:r>
        <w:rPr>
          <w:rFonts w:ascii="Arial" w:eastAsia="Times New Roman" w:hAnsi="Arial" w:cs="Arial"/>
          <w:b/>
          <w:sz w:val="26"/>
          <w:szCs w:val="26"/>
          <w:lang w:eastAsia="pl-PL"/>
        </w:rPr>
        <w:t>Zarządzenie Nr</w:t>
      </w:r>
      <w:r w:rsidR="000E2E9B">
        <w:rPr>
          <w:rFonts w:ascii="Arial" w:eastAsia="Times New Roman" w:hAnsi="Arial" w:cs="Arial"/>
          <w:b/>
          <w:sz w:val="26"/>
          <w:szCs w:val="26"/>
          <w:lang w:eastAsia="pl-PL"/>
        </w:rPr>
        <w:t xml:space="preserve"> </w:t>
      </w:r>
      <w:r w:rsidR="00B63D6A">
        <w:rPr>
          <w:rFonts w:ascii="Arial" w:eastAsia="Times New Roman" w:hAnsi="Arial" w:cs="Arial"/>
          <w:b/>
          <w:sz w:val="26"/>
          <w:szCs w:val="26"/>
          <w:lang w:eastAsia="pl-PL"/>
        </w:rPr>
        <w:t>1869</w:t>
      </w:r>
      <w:r>
        <w:rPr>
          <w:rFonts w:ascii="Arial" w:eastAsia="Times New Roman" w:hAnsi="Arial" w:cs="Arial"/>
          <w:b/>
          <w:sz w:val="26"/>
          <w:szCs w:val="26"/>
          <w:lang w:eastAsia="pl-PL"/>
        </w:rPr>
        <w:t>/202</w:t>
      </w:r>
      <w:r w:rsidR="00B63D6A">
        <w:rPr>
          <w:rFonts w:ascii="Arial" w:eastAsia="Times New Roman" w:hAnsi="Arial" w:cs="Arial"/>
          <w:b/>
          <w:sz w:val="26"/>
          <w:szCs w:val="26"/>
          <w:lang w:eastAsia="pl-PL"/>
        </w:rPr>
        <w:t>3</w:t>
      </w:r>
    </w:p>
    <w:p w14:paraId="54774A0F" w14:textId="77777777" w:rsidR="00CE66F3" w:rsidRPr="00CE66F3" w:rsidRDefault="00CE66F3" w:rsidP="00CA3565">
      <w:pPr>
        <w:spacing w:after="0"/>
        <w:rPr>
          <w:rFonts w:ascii="Arial" w:eastAsia="Times New Roman" w:hAnsi="Arial" w:cs="Arial"/>
          <w:b/>
          <w:sz w:val="26"/>
          <w:szCs w:val="26"/>
          <w:lang w:eastAsia="pl-PL"/>
        </w:rPr>
      </w:pPr>
      <w:r w:rsidRPr="00CE66F3">
        <w:rPr>
          <w:rFonts w:ascii="Arial" w:eastAsia="Times New Roman" w:hAnsi="Arial" w:cs="Arial"/>
          <w:b/>
          <w:sz w:val="26"/>
          <w:szCs w:val="26"/>
          <w:lang w:eastAsia="pl-PL"/>
        </w:rPr>
        <w:t>Burmistrza Nysy</w:t>
      </w:r>
    </w:p>
    <w:p w14:paraId="7F60FF68" w14:textId="564C0118" w:rsidR="00CE66F3" w:rsidRPr="00CE66F3" w:rsidRDefault="004140BE" w:rsidP="00CA3565">
      <w:pPr>
        <w:spacing w:after="0"/>
        <w:rPr>
          <w:rFonts w:ascii="Arial" w:eastAsia="Times New Roman" w:hAnsi="Arial" w:cs="Arial"/>
          <w:b/>
          <w:sz w:val="26"/>
          <w:szCs w:val="26"/>
          <w:lang w:eastAsia="pl-PL"/>
        </w:rPr>
      </w:pPr>
      <w:r>
        <w:rPr>
          <w:rFonts w:ascii="Arial" w:eastAsia="Times New Roman" w:hAnsi="Arial" w:cs="Arial"/>
          <w:b/>
          <w:sz w:val="26"/>
          <w:szCs w:val="26"/>
          <w:lang w:eastAsia="pl-PL"/>
        </w:rPr>
        <w:t>z dnia</w:t>
      </w:r>
      <w:r w:rsidR="000E2E9B">
        <w:rPr>
          <w:rFonts w:ascii="Arial" w:eastAsia="Times New Roman" w:hAnsi="Arial" w:cs="Arial"/>
          <w:b/>
          <w:sz w:val="26"/>
          <w:szCs w:val="26"/>
          <w:lang w:eastAsia="pl-PL"/>
        </w:rPr>
        <w:t xml:space="preserve"> </w:t>
      </w:r>
      <w:r w:rsidR="0016603E">
        <w:rPr>
          <w:rFonts w:ascii="Arial" w:eastAsia="Times New Roman" w:hAnsi="Arial" w:cs="Arial"/>
          <w:b/>
          <w:sz w:val="26"/>
          <w:szCs w:val="26"/>
          <w:lang w:eastAsia="pl-PL"/>
        </w:rPr>
        <w:t>21</w:t>
      </w:r>
      <w:r w:rsidR="000E2E9B">
        <w:rPr>
          <w:rFonts w:ascii="Arial" w:eastAsia="Times New Roman" w:hAnsi="Arial" w:cs="Arial"/>
          <w:b/>
          <w:sz w:val="26"/>
          <w:szCs w:val="26"/>
          <w:lang w:eastAsia="pl-PL"/>
        </w:rPr>
        <w:t xml:space="preserve"> </w:t>
      </w:r>
      <w:r>
        <w:rPr>
          <w:rFonts w:ascii="Arial" w:eastAsia="Times New Roman" w:hAnsi="Arial" w:cs="Arial"/>
          <w:b/>
          <w:sz w:val="26"/>
          <w:szCs w:val="26"/>
          <w:lang w:eastAsia="pl-PL"/>
        </w:rPr>
        <w:t>marca 202</w:t>
      </w:r>
      <w:r w:rsidR="00B63D6A">
        <w:rPr>
          <w:rFonts w:ascii="Arial" w:eastAsia="Times New Roman" w:hAnsi="Arial" w:cs="Arial"/>
          <w:b/>
          <w:sz w:val="26"/>
          <w:szCs w:val="26"/>
          <w:lang w:eastAsia="pl-PL"/>
        </w:rPr>
        <w:t>3</w:t>
      </w:r>
      <w:r w:rsidR="00CE66F3" w:rsidRPr="00CE66F3">
        <w:rPr>
          <w:rFonts w:ascii="Arial" w:eastAsia="Times New Roman" w:hAnsi="Arial" w:cs="Arial"/>
          <w:b/>
          <w:sz w:val="26"/>
          <w:szCs w:val="26"/>
          <w:lang w:eastAsia="pl-PL"/>
        </w:rPr>
        <w:t xml:space="preserve"> r.</w:t>
      </w:r>
    </w:p>
    <w:p w14:paraId="47333071" w14:textId="77777777" w:rsidR="00CE66F3" w:rsidRPr="00CE66F3" w:rsidRDefault="00CE66F3" w:rsidP="00CA3565">
      <w:pPr>
        <w:spacing w:after="0" w:line="240" w:lineRule="auto"/>
        <w:rPr>
          <w:rFonts w:ascii="Arial" w:eastAsia="Times New Roman" w:hAnsi="Arial" w:cs="Arial"/>
          <w:sz w:val="18"/>
          <w:szCs w:val="18"/>
          <w:lang w:eastAsia="pl-PL"/>
        </w:rPr>
      </w:pPr>
    </w:p>
    <w:p w14:paraId="11D63C0A" w14:textId="304A880B" w:rsidR="00CE66F3" w:rsidRDefault="00CE66F3" w:rsidP="00CA3565">
      <w:pPr>
        <w:spacing w:after="0" w:line="240" w:lineRule="auto"/>
        <w:rPr>
          <w:rFonts w:ascii="Arial" w:eastAsia="Times New Roman" w:hAnsi="Arial" w:cs="Arial"/>
          <w:sz w:val="20"/>
          <w:szCs w:val="20"/>
          <w:lang w:eastAsia="pl-PL"/>
        </w:rPr>
      </w:pPr>
    </w:p>
    <w:p w14:paraId="62CA0F11" w14:textId="77777777" w:rsidR="00CE66F3" w:rsidRPr="00CE66F3" w:rsidRDefault="00CE66F3" w:rsidP="00CA3565">
      <w:pPr>
        <w:spacing w:after="0" w:line="240" w:lineRule="auto"/>
        <w:rPr>
          <w:rFonts w:ascii="Arial" w:eastAsia="Times New Roman" w:hAnsi="Arial" w:cs="Arial"/>
          <w:sz w:val="20"/>
          <w:szCs w:val="20"/>
          <w:lang w:eastAsia="pl-PL"/>
        </w:rPr>
      </w:pPr>
    </w:p>
    <w:p w14:paraId="7CB0EB4B" w14:textId="19C8A7B7" w:rsidR="00CE66F3" w:rsidRPr="00CE66F3" w:rsidRDefault="00B63D6A" w:rsidP="00CA3565">
      <w:pPr>
        <w:spacing w:after="0"/>
        <w:rPr>
          <w:rFonts w:ascii="Arial" w:eastAsia="Times New Roman" w:hAnsi="Arial" w:cs="Arial"/>
          <w:b/>
          <w:sz w:val="26"/>
          <w:szCs w:val="26"/>
          <w:lang w:eastAsia="pl-PL"/>
        </w:rPr>
      </w:pPr>
      <w:r>
        <w:rPr>
          <w:rFonts w:ascii="Arial" w:eastAsia="Times New Roman" w:hAnsi="Arial" w:cs="Arial"/>
          <w:b/>
          <w:sz w:val="26"/>
          <w:szCs w:val="26"/>
          <w:lang w:eastAsia="pl-PL"/>
        </w:rPr>
        <w:t xml:space="preserve">w sprawie zmiany Zarządzenia Nr 941/2021 Burmistrza Nysy z dnia </w:t>
      </w:r>
      <w:r>
        <w:rPr>
          <w:rFonts w:ascii="Arial" w:eastAsia="Times New Roman" w:hAnsi="Arial" w:cs="Arial"/>
          <w:b/>
          <w:sz w:val="26"/>
          <w:szCs w:val="26"/>
          <w:lang w:eastAsia="pl-PL"/>
        </w:rPr>
        <w:br/>
        <w:t xml:space="preserve">9 marca 2021 r. </w:t>
      </w:r>
      <w:r w:rsidR="00CE66F3" w:rsidRPr="00CE66F3">
        <w:rPr>
          <w:rFonts w:ascii="Arial" w:eastAsia="Times New Roman" w:hAnsi="Arial" w:cs="Arial"/>
          <w:b/>
          <w:sz w:val="26"/>
          <w:szCs w:val="26"/>
          <w:lang w:eastAsia="pl-PL"/>
        </w:rPr>
        <w:t xml:space="preserve">w sprawie </w:t>
      </w:r>
      <w:r w:rsidR="00EC095A">
        <w:rPr>
          <w:rFonts w:ascii="Arial" w:eastAsia="Times New Roman" w:hAnsi="Arial" w:cs="Arial"/>
          <w:b/>
          <w:sz w:val="26"/>
          <w:szCs w:val="26"/>
          <w:lang w:eastAsia="pl-PL"/>
        </w:rPr>
        <w:t xml:space="preserve">wprowadzenia jednolitych zasad </w:t>
      </w:r>
      <w:r w:rsidR="00CE66F3">
        <w:rPr>
          <w:rFonts w:ascii="Arial" w:eastAsia="Times New Roman" w:hAnsi="Arial" w:cs="Arial"/>
          <w:b/>
          <w:sz w:val="26"/>
          <w:szCs w:val="26"/>
          <w:lang w:eastAsia="pl-PL"/>
        </w:rPr>
        <w:t xml:space="preserve">sporządzania </w:t>
      </w:r>
      <w:r w:rsidR="00C6427E">
        <w:rPr>
          <w:rFonts w:ascii="Arial" w:eastAsia="Times New Roman" w:hAnsi="Arial" w:cs="Arial"/>
          <w:b/>
          <w:sz w:val="26"/>
          <w:szCs w:val="26"/>
          <w:lang w:eastAsia="pl-PL"/>
        </w:rPr>
        <w:t xml:space="preserve">informacji dodatkowej do sprawozdania finansowego </w:t>
      </w:r>
      <w:r w:rsidR="00CE66F3">
        <w:rPr>
          <w:rFonts w:ascii="Arial" w:eastAsia="Times New Roman" w:hAnsi="Arial" w:cs="Arial"/>
          <w:b/>
          <w:sz w:val="26"/>
          <w:szCs w:val="26"/>
          <w:lang w:eastAsia="pl-PL"/>
        </w:rPr>
        <w:t xml:space="preserve">przez podległe jednostki </w:t>
      </w:r>
      <w:r w:rsidR="00CF43CF">
        <w:rPr>
          <w:rFonts w:ascii="Arial" w:eastAsia="Times New Roman" w:hAnsi="Arial" w:cs="Arial"/>
          <w:b/>
          <w:sz w:val="26"/>
          <w:szCs w:val="26"/>
          <w:lang w:eastAsia="pl-PL"/>
        </w:rPr>
        <w:t>Gminy Nysa</w:t>
      </w:r>
    </w:p>
    <w:p w14:paraId="65FFD27C" w14:textId="77777777" w:rsidR="00CE66F3" w:rsidRPr="00CE66F3" w:rsidRDefault="00CE66F3" w:rsidP="00CA3565">
      <w:pPr>
        <w:spacing w:after="0" w:line="360" w:lineRule="auto"/>
        <w:rPr>
          <w:rFonts w:ascii="Arial" w:eastAsia="Times New Roman" w:hAnsi="Arial" w:cs="Arial"/>
          <w:sz w:val="18"/>
          <w:szCs w:val="18"/>
          <w:lang w:eastAsia="pl-PL"/>
        </w:rPr>
      </w:pPr>
    </w:p>
    <w:p w14:paraId="223AC9E6" w14:textId="32081ADE" w:rsidR="00CE66F3" w:rsidRPr="00EC095A" w:rsidRDefault="00CE66F3" w:rsidP="00CA3565">
      <w:pPr>
        <w:spacing w:after="0" w:line="240" w:lineRule="auto"/>
        <w:rPr>
          <w:rFonts w:ascii="Arial" w:eastAsia="Times New Roman" w:hAnsi="Arial" w:cs="Arial"/>
          <w:bCs/>
          <w:sz w:val="20"/>
          <w:szCs w:val="20"/>
          <w:lang w:eastAsia="pl-PL"/>
        </w:rPr>
      </w:pPr>
      <w:r w:rsidRPr="00EC095A">
        <w:rPr>
          <w:rFonts w:ascii="Arial" w:eastAsia="Times New Roman" w:hAnsi="Arial" w:cs="Arial"/>
          <w:sz w:val="20"/>
          <w:szCs w:val="20"/>
          <w:lang w:eastAsia="pl-PL"/>
        </w:rPr>
        <w:t>Na podstawie art. 33 ust. 3 ustawy z dnia 8 marca 1990 r</w:t>
      </w:r>
      <w:r w:rsidR="00EC095A">
        <w:rPr>
          <w:rFonts w:ascii="Arial" w:eastAsia="Times New Roman" w:hAnsi="Arial" w:cs="Arial"/>
          <w:sz w:val="20"/>
          <w:szCs w:val="20"/>
          <w:lang w:eastAsia="pl-PL"/>
        </w:rPr>
        <w:t xml:space="preserve">. o samorządzie gminnym (Dz.U. </w:t>
      </w:r>
      <w:r w:rsidR="0042533F">
        <w:rPr>
          <w:rFonts w:ascii="Arial" w:eastAsia="Times New Roman" w:hAnsi="Arial" w:cs="Arial"/>
          <w:sz w:val="20"/>
          <w:szCs w:val="20"/>
          <w:lang w:eastAsia="pl-PL"/>
        </w:rPr>
        <w:t>z 202</w:t>
      </w:r>
      <w:r w:rsidR="00D558B0">
        <w:rPr>
          <w:rFonts w:ascii="Arial" w:eastAsia="Times New Roman" w:hAnsi="Arial" w:cs="Arial"/>
          <w:sz w:val="20"/>
          <w:szCs w:val="20"/>
          <w:lang w:eastAsia="pl-PL"/>
        </w:rPr>
        <w:t>3</w:t>
      </w:r>
      <w:r w:rsidRPr="00EC095A">
        <w:rPr>
          <w:rFonts w:ascii="Arial" w:eastAsia="Times New Roman" w:hAnsi="Arial" w:cs="Arial"/>
          <w:sz w:val="20"/>
          <w:szCs w:val="20"/>
          <w:lang w:eastAsia="pl-PL"/>
        </w:rPr>
        <w:t xml:space="preserve"> r.</w:t>
      </w:r>
      <w:r w:rsidR="00585A63">
        <w:rPr>
          <w:rFonts w:ascii="Arial" w:eastAsia="Times New Roman" w:hAnsi="Arial" w:cs="Arial"/>
          <w:sz w:val="20"/>
          <w:szCs w:val="20"/>
          <w:lang w:eastAsia="pl-PL"/>
        </w:rPr>
        <w:t xml:space="preserve"> </w:t>
      </w:r>
      <w:r w:rsidRPr="00EC095A">
        <w:rPr>
          <w:rFonts w:ascii="Arial" w:eastAsia="Times New Roman" w:hAnsi="Arial" w:cs="Arial"/>
          <w:sz w:val="20"/>
          <w:szCs w:val="20"/>
          <w:lang w:eastAsia="pl-PL"/>
        </w:rPr>
        <w:t>poz.</w:t>
      </w:r>
      <w:r w:rsidR="00D558B0">
        <w:rPr>
          <w:rFonts w:ascii="Arial" w:eastAsia="Times New Roman" w:hAnsi="Arial" w:cs="Arial"/>
          <w:sz w:val="20"/>
          <w:szCs w:val="20"/>
          <w:lang w:eastAsia="pl-PL"/>
        </w:rPr>
        <w:t xml:space="preserve"> 40</w:t>
      </w:r>
      <w:r w:rsidRPr="00EC095A">
        <w:rPr>
          <w:rFonts w:ascii="Arial" w:eastAsia="Times New Roman" w:hAnsi="Arial" w:cs="Arial"/>
          <w:sz w:val="20"/>
          <w:szCs w:val="20"/>
          <w:lang w:eastAsia="pl-PL"/>
        </w:rPr>
        <w:t>), art. 40 ust.</w:t>
      </w:r>
      <w:r w:rsidR="002E4C44">
        <w:rPr>
          <w:rFonts w:ascii="Arial" w:eastAsia="Times New Roman" w:hAnsi="Arial" w:cs="Arial"/>
          <w:sz w:val="20"/>
          <w:szCs w:val="20"/>
          <w:lang w:eastAsia="pl-PL"/>
        </w:rPr>
        <w:t xml:space="preserve"> 2 i</w:t>
      </w:r>
      <w:r w:rsidRPr="00EC095A">
        <w:rPr>
          <w:rFonts w:ascii="Arial" w:eastAsia="Times New Roman" w:hAnsi="Arial" w:cs="Arial"/>
          <w:sz w:val="20"/>
          <w:szCs w:val="20"/>
          <w:lang w:eastAsia="pl-PL"/>
        </w:rPr>
        <w:t xml:space="preserve"> </w:t>
      </w:r>
      <w:r w:rsidR="002E4C44">
        <w:rPr>
          <w:rFonts w:ascii="Arial" w:eastAsia="Times New Roman" w:hAnsi="Arial" w:cs="Arial"/>
          <w:sz w:val="20"/>
          <w:szCs w:val="20"/>
          <w:lang w:eastAsia="pl-PL"/>
        </w:rPr>
        <w:t xml:space="preserve">ust. </w:t>
      </w:r>
      <w:r w:rsidRPr="00EC095A">
        <w:rPr>
          <w:rFonts w:ascii="Arial" w:eastAsia="Times New Roman" w:hAnsi="Arial" w:cs="Arial"/>
          <w:sz w:val="20"/>
          <w:szCs w:val="20"/>
          <w:lang w:eastAsia="pl-PL"/>
        </w:rPr>
        <w:t>3 ustawy z dnia 27 sierpnia 2009 r. o fin</w:t>
      </w:r>
      <w:r w:rsidR="00585A63">
        <w:rPr>
          <w:rFonts w:ascii="Arial" w:eastAsia="Times New Roman" w:hAnsi="Arial" w:cs="Arial"/>
          <w:sz w:val="20"/>
          <w:szCs w:val="20"/>
          <w:lang w:eastAsia="pl-PL"/>
        </w:rPr>
        <w:t>ansach publicznych (Dz.U. z 202</w:t>
      </w:r>
      <w:r w:rsidR="00D959EA">
        <w:rPr>
          <w:rFonts w:ascii="Arial" w:eastAsia="Times New Roman" w:hAnsi="Arial" w:cs="Arial"/>
          <w:sz w:val="20"/>
          <w:szCs w:val="20"/>
          <w:lang w:eastAsia="pl-PL"/>
        </w:rPr>
        <w:t>2</w:t>
      </w:r>
      <w:r w:rsidR="00585A63">
        <w:rPr>
          <w:rFonts w:ascii="Arial" w:eastAsia="Times New Roman" w:hAnsi="Arial" w:cs="Arial"/>
          <w:sz w:val="20"/>
          <w:szCs w:val="20"/>
          <w:lang w:eastAsia="pl-PL"/>
        </w:rPr>
        <w:t xml:space="preserve"> </w:t>
      </w:r>
      <w:r w:rsidRPr="00EC095A">
        <w:rPr>
          <w:rFonts w:ascii="Arial" w:eastAsia="Times New Roman" w:hAnsi="Arial" w:cs="Arial"/>
          <w:sz w:val="20"/>
          <w:szCs w:val="20"/>
          <w:lang w:eastAsia="pl-PL"/>
        </w:rPr>
        <w:t>r.</w:t>
      </w:r>
      <w:r w:rsidR="00585A63">
        <w:rPr>
          <w:rFonts w:ascii="Arial" w:eastAsia="Times New Roman" w:hAnsi="Arial" w:cs="Arial"/>
          <w:sz w:val="20"/>
          <w:szCs w:val="20"/>
          <w:lang w:eastAsia="pl-PL"/>
        </w:rPr>
        <w:t xml:space="preserve"> </w:t>
      </w:r>
      <w:r w:rsidRPr="00EC095A">
        <w:rPr>
          <w:rFonts w:ascii="Arial" w:eastAsia="Times New Roman" w:hAnsi="Arial" w:cs="Arial"/>
          <w:sz w:val="20"/>
          <w:szCs w:val="20"/>
          <w:lang w:eastAsia="pl-PL"/>
        </w:rPr>
        <w:t>poz.</w:t>
      </w:r>
      <w:r w:rsidR="00D959EA">
        <w:rPr>
          <w:rFonts w:ascii="Arial" w:eastAsia="Times New Roman" w:hAnsi="Arial" w:cs="Arial"/>
          <w:sz w:val="20"/>
          <w:szCs w:val="20"/>
          <w:lang w:eastAsia="pl-PL"/>
        </w:rPr>
        <w:t xml:space="preserve"> 1634 ze zm.</w:t>
      </w:r>
      <w:r w:rsidRPr="00EC095A">
        <w:rPr>
          <w:rFonts w:ascii="Arial" w:eastAsia="Times New Roman" w:hAnsi="Arial" w:cs="Arial"/>
          <w:sz w:val="20"/>
          <w:szCs w:val="20"/>
          <w:lang w:eastAsia="pl-PL"/>
        </w:rPr>
        <w:t xml:space="preserve">) oraz § 23 </w:t>
      </w:r>
      <w:r w:rsidRPr="00EC095A">
        <w:rPr>
          <w:rFonts w:ascii="Arial" w:hAnsi="Arial" w:cs="Arial"/>
          <w:sz w:val="20"/>
          <w:szCs w:val="20"/>
        </w:rPr>
        <w:t xml:space="preserve">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w:t>
      </w:r>
      <w:r w:rsidR="00047EDF">
        <w:rPr>
          <w:rFonts w:ascii="Arial" w:hAnsi="Arial" w:cs="Arial"/>
          <w:sz w:val="20"/>
          <w:szCs w:val="20"/>
        </w:rPr>
        <w:t>z 2020 r. poz. 342</w:t>
      </w:r>
      <w:r w:rsidRPr="00EC095A">
        <w:rPr>
          <w:rFonts w:ascii="Arial" w:hAnsi="Arial" w:cs="Arial"/>
          <w:sz w:val="20"/>
          <w:szCs w:val="20"/>
        </w:rPr>
        <w:t>) zarządzam</w:t>
      </w:r>
      <w:r w:rsidR="006117E8">
        <w:rPr>
          <w:rFonts w:ascii="Arial" w:hAnsi="Arial" w:cs="Arial"/>
          <w:sz w:val="20"/>
          <w:szCs w:val="20"/>
        </w:rPr>
        <w:t>,</w:t>
      </w:r>
      <w:r w:rsidRPr="00EC095A">
        <w:rPr>
          <w:rFonts w:ascii="Arial" w:hAnsi="Arial" w:cs="Arial"/>
          <w:sz w:val="20"/>
          <w:szCs w:val="20"/>
        </w:rPr>
        <w:t xml:space="preserve"> co następuje</w:t>
      </w:r>
      <w:r w:rsidRPr="00EC095A">
        <w:rPr>
          <w:rFonts w:ascii="Arial" w:eastAsia="Times New Roman" w:hAnsi="Arial" w:cs="Arial"/>
          <w:sz w:val="20"/>
          <w:szCs w:val="20"/>
          <w:lang w:eastAsia="pl-PL"/>
        </w:rPr>
        <w:t>:</w:t>
      </w:r>
    </w:p>
    <w:p w14:paraId="446030C8" w14:textId="77777777" w:rsidR="00CE66F3" w:rsidRPr="00CE66F3" w:rsidRDefault="00CE66F3" w:rsidP="00CA3565">
      <w:pPr>
        <w:spacing w:line="360" w:lineRule="auto"/>
        <w:rPr>
          <w:rFonts w:ascii="Arial" w:eastAsia="Times New Roman" w:hAnsi="Arial" w:cs="Arial"/>
          <w:sz w:val="18"/>
          <w:szCs w:val="18"/>
          <w:lang w:eastAsia="pl-PL"/>
        </w:rPr>
      </w:pPr>
    </w:p>
    <w:p w14:paraId="393C3349" w14:textId="77777777" w:rsidR="00CE66F3" w:rsidRPr="00CE66F3" w:rsidRDefault="00CE66F3" w:rsidP="00CA3565">
      <w:pPr>
        <w:spacing w:after="0" w:line="360" w:lineRule="auto"/>
        <w:rPr>
          <w:rFonts w:ascii="Arial" w:eastAsia="Times New Roman" w:hAnsi="Arial" w:cs="Arial"/>
          <w:lang w:eastAsia="pl-PL"/>
        </w:rPr>
      </w:pPr>
      <w:r w:rsidRPr="00CE66F3">
        <w:rPr>
          <w:rFonts w:ascii="Arial" w:eastAsia="Times New Roman" w:hAnsi="Arial" w:cs="Arial"/>
          <w:lang w:eastAsia="pl-PL"/>
        </w:rPr>
        <w:t>§ 1</w:t>
      </w:r>
    </w:p>
    <w:p w14:paraId="55884E10" w14:textId="77777777" w:rsidR="00CE66F3" w:rsidRPr="00CE66F3" w:rsidRDefault="00CE66F3" w:rsidP="00CA3565">
      <w:pPr>
        <w:spacing w:after="0" w:line="360" w:lineRule="auto"/>
        <w:rPr>
          <w:rFonts w:ascii="Arial" w:eastAsia="Times New Roman" w:hAnsi="Arial" w:cs="Arial"/>
          <w:sz w:val="18"/>
          <w:szCs w:val="18"/>
          <w:lang w:eastAsia="pl-PL"/>
        </w:rPr>
      </w:pPr>
    </w:p>
    <w:p w14:paraId="341BBED7" w14:textId="17E0FFAD" w:rsidR="00B63D6A" w:rsidRDefault="00B63D6A" w:rsidP="00CA3565">
      <w:pPr>
        <w:spacing w:after="0"/>
        <w:rPr>
          <w:rFonts w:ascii="Arial" w:eastAsia="Times New Roman" w:hAnsi="Arial" w:cs="Arial"/>
          <w:lang w:eastAsia="pl-PL"/>
        </w:rPr>
      </w:pPr>
      <w:r w:rsidRPr="00B63D6A">
        <w:rPr>
          <w:rFonts w:ascii="Arial" w:eastAsia="Times New Roman" w:hAnsi="Arial" w:cs="Arial"/>
          <w:lang w:eastAsia="pl-PL"/>
        </w:rPr>
        <w:t>W Zarządzeniu Nr</w:t>
      </w:r>
      <w:r w:rsidR="00B3039A">
        <w:rPr>
          <w:rFonts w:ascii="Arial" w:eastAsia="Times New Roman" w:hAnsi="Arial" w:cs="Arial"/>
          <w:lang w:eastAsia="pl-PL"/>
        </w:rPr>
        <w:t xml:space="preserve"> </w:t>
      </w:r>
      <w:r w:rsidRPr="00B63D6A">
        <w:rPr>
          <w:rFonts w:ascii="Arial" w:eastAsia="Times New Roman" w:hAnsi="Arial" w:cs="Arial"/>
          <w:lang w:eastAsia="pl-PL"/>
        </w:rPr>
        <w:t>941/2021 Burmistrza Nysy z dnia 9 marca 2021 r. w sprawie wprowadzenia jednolitych zasad sporządzania informacji dodatkowej do sprawozdania finansowego przez podległe jednostki Gminy Nysa</w:t>
      </w:r>
      <w:r>
        <w:rPr>
          <w:rFonts w:ascii="Arial" w:eastAsia="Times New Roman" w:hAnsi="Arial" w:cs="Arial"/>
          <w:lang w:eastAsia="pl-PL"/>
        </w:rPr>
        <w:t>, wprowadza się następującą zmianę:</w:t>
      </w:r>
    </w:p>
    <w:p w14:paraId="24CBBC66" w14:textId="12BC8196" w:rsidR="00B63D6A" w:rsidRPr="00B63D6A" w:rsidRDefault="00B3039A" w:rsidP="00CA3565">
      <w:pPr>
        <w:spacing w:after="0"/>
        <w:rPr>
          <w:rFonts w:ascii="Arial" w:eastAsia="Times New Roman" w:hAnsi="Arial" w:cs="Arial"/>
          <w:lang w:eastAsia="pl-PL"/>
        </w:rPr>
      </w:pPr>
      <w:r>
        <w:rPr>
          <w:rFonts w:ascii="Arial" w:eastAsia="Times New Roman" w:hAnsi="Arial" w:cs="Arial"/>
          <w:lang w:eastAsia="pl-PL"/>
        </w:rPr>
        <w:t>- w załączniku do Zarządzenia Nr 941/2021 Burmistrza Nysy z dnia 9 marca 2021 r. pkt. 2 otrzymuje brzmienie:</w:t>
      </w:r>
    </w:p>
    <w:p w14:paraId="1D253B28" w14:textId="3F46233B" w:rsidR="00B3039A" w:rsidRPr="00B3039A" w:rsidRDefault="00B3039A" w:rsidP="00CA3565">
      <w:pPr>
        <w:spacing w:after="0"/>
        <w:ind w:left="709" w:hanging="567"/>
        <w:rPr>
          <w:rFonts w:ascii="Arial" w:hAnsi="Arial" w:cs="Arial"/>
          <w:bCs/>
        </w:rPr>
      </w:pPr>
      <w:r>
        <w:rPr>
          <w:rFonts w:ascii="Arial" w:hAnsi="Arial" w:cs="Arial"/>
          <w:b/>
          <w:bCs/>
          <w:color w:val="000000"/>
        </w:rPr>
        <w:t xml:space="preserve">„ 2. </w:t>
      </w:r>
      <w:r w:rsidRPr="00B3039A">
        <w:rPr>
          <w:rFonts w:ascii="Arial" w:hAnsi="Arial" w:cs="Arial"/>
          <w:b/>
          <w:bCs/>
          <w:color w:val="000000"/>
        </w:rPr>
        <w:t>W części II.</w:t>
      </w:r>
      <w:r w:rsidRPr="00B3039A">
        <w:rPr>
          <w:rFonts w:ascii="Arial" w:hAnsi="Arial" w:cs="Arial"/>
          <w:bCs/>
          <w:color w:val="000000"/>
        </w:rPr>
        <w:t xml:space="preserve"> Dodatkowe informacje i objaśnienia należy wykazać następujące </w:t>
      </w:r>
      <w:r w:rsidRPr="00B3039A">
        <w:rPr>
          <w:rFonts w:ascii="Arial" w:hAnsi="Arial" w:cs="Arial"/>
          <w:bCs/>
        </w:rPr>
        <w:t>informacje</w:t>
      </w:r>
      <w:r>
        <w:rPr>
          <w:rFonts w:ascii="Arial" w:hAnsi="Arial" w:cs="Arial"/>
          <w:bCs/>
        </w:rPr>
        <w:t xml:space="preserve"> </w:t>
      </w:r>
      <w:r w:rsidRPr="00B3039A">
        <w:rPr>
          <w:rFonts w:ascii="Arial" w:hAnsi="Arial" w:cs="Arial"/>
          <w:bCs/>
        </w:rPr>
        <w:t>:</w:t>
      </w:r>
    </w:p>
    <w:p w14:paraId="385B323E" w14:textId="77777777" w:rsidR="00B3039A" w:rsidRPr="003B76EE" w:rsidRDefault="00B3039A" w:rsidP="00CA3565">
      <w:pPr>
        <w:pStyle w:val="Akapitzlist"/>
        <w:numPr>
          <w:ilvl w:val="0"/>
          <w:numId w:val="18"/>
        </w:numPr>
        <w:spacing w:after="0"/>
        <w:ind w:left="1134" w:hanging="425"/>
        <w:rPr>
          <w:rFonts w:ascii="Arial" w:hAnsi="Arial" w:cs="Arial"/>
          <w:color w:val="000000"/>
        </w:rPr>
      </w:pPr>
      <w:r w:rsidRPr="003B76EE">
        <w:rPr>
          <w:rFonts w:ascii="Arial" w:hAnsi="Arial" w:cs="Arial"/>
          <w:color w:val="000000"/>
        </w:rPr>
        <w:t>szczegółowy zakres zmian wartości grup rodzajowych środków trwałych, wartości niematerialnych i prawnych, zawierający stan tych aktywów na początek roku obrotowego, zmniejszenia i zwiększenia z tytułu: nabycia, przemieszczenia wewnętrznego</w:t>
      </w:r>
      <w:r>
        <w:rPr>
          <w:rFonts w:ascii="Arial" w:hAnsi="Arial" w:cs="Arial"/>
          <w:color w:val="000000"/>
        </w:rPr>
        <w:t>, zbycia, likwidacja i inne</w:t>
      </w:r>
      <w:r w:rsidRPr="003B76EE">
        <w:rPr>
          <w:rFonts w:ascii="Arial" w:hAnsi="Arial" w:cs="Arial"/>
          <w:color w:val="000000"/>
        </w:rPr>
        <w:t xml:space="preserve"> oraz stan końcowy a dla majątku amortyzowanego – podobne przedstawienie stanów i tytułów zmian dotychczasowej amortyzacji lub umorzenia</w:t>
      </w:r>
      <w:r>
        <w:rPr>
          <w:rFonts w:ascii="Arial" w:hAnsi="Arial" w:cs="Arial"/>
          <w:color w:val="000000"/>
        </w:rPr>
        <w:t>;</w:t>
      </w:r>
    </w:p>
    <w:p w14:paraId="1DA33DA8" w14:textId="77777777" w:rsidR="00B3039A" w:rsidRDefault="00B3039A" w:rsidP="00CA3565">
      <w:pPr>
        <w:pStyle w:val="Akapitzlist"/>
        <w:spacing w:before="120" w:after="120"/>
        <w:ind w:left="1134"/>
        <w:rPr>
          <w:rFonts w:ascii="Arial" w:hAnsi="Arial" w:cs="Arial"/>
          <w:i/>
          <w:color w:val="000000"/>
        </w:rPr>
      </w:pPr>
      <w:r w:rsidRPr="00686DE9">
        <w:rPr>
          <w:rFonts w:ascii="Arial" w:hAnsi="Arial" w:cs="Arial"/>
          <w:i/>
          <w:color w:val="000000"/>
        </w:rPr>
        <w:t>W punkcie tym wykazuje się szczegółowy zakres zmian wartości grup rodzajowych środków trwałych oraz warto</w:t>
      </w:r>
      <w:r>
        <w:rPr>
          <w:rFonts w:ascii="Arial" w:hAnsi="Arial" w:cs="Arial"/>
          <w:i/>
          <w:color w:val="000000"/>
        </w:rPr>
        <w:t xml:space="preserve">ści niematerialnych i prawnych – powinień odzwierciedlać stan wynikających z kont ksiąg pomocniczych prowadzonych dla środków trwałych i wartości niematerialnych i prawnych oraz dokonywanych od nich zapisów amortyzacyjnych i umorzeniowych. Dane wykazane w tej części dodatkowych informacji i objaśnień muszą być spójne </w:t>
      </w:r>
      <w:r>
        <w:rPr>
          <w:rFonts w:ascii="Arial" w:hAnsi="Arial" w:cs="Arial"/>
          <w:i/>
          <w:color w:val="000000"/>
        </w:rPr>
        <w:br/>
        <w:t xml:space="preserve">z danymi wykazanymi w bilansie jednostki. </w:t>
      </w:r>
    </w:p>
    <w:p w14:paraId="1A81144D" w14:textId="77777777" w:rsidR="00B3039A" w:rsidRDefault="00B3039A" w:rsidP="00CA3565">
      <w:pPr>
        <w:pStyle w:val="Akapitzlist"/>
        <w:spacing w:before="120" w:after="120"/>
        <w:ind w:left="1134"/>
        <w:rPr>
          <w:rFonts w:ascii="Arial" w:hAnsi="Arial" w:cs="Arial"/>
          <w:i/>
          <w:color w:val="000000"/>
        </w:rPr>
      </w:pPr>
      <w:r w:rsidRPr="00686DE9">
        <w:rPr>
          <w:rFonts w:ascii="Arial" w:hAnsi="Arial" w:cs="Arial"/>
          <w:i/>
          <w:color w:val="000000"/>
        </w:rPr>
        <w:t>Informacje te należy przedstawić zgodnie z załącznikiem nr</w:t>
      </w:r>
      <w:r>
        <w:rPr>
          <w:rFonts w:ascii="Arial" w:hAnsi="Arial" w:cs="Arial"/>
          <w:i/>
          <w:color w:val="000000"/>
        </w:rPr>
        <w:t xml:space="preserve"> 1 i 2 do informacji dodatkowej. </w:t>
      </w:r>
    </w:p>
    <w:p w14:paraId="64F47F46" w14:textId="77777777" w:rsidR="00B3039A" w:rsidRDefault="00B3039A" w:rsidP="00CA3565">
      <w:pPr>
        <w:pStyle w:val="Akapitzlist"/>
        <w:numPr>
          <w:ilvl w:val="0"/>
          <w:numId w:val="18"/>
        </w:numPr>
        <w:spacing w:after="0"/>
        <w:ind w:left="1134" w:hanging="425"/>
        <w:rPr>
          <w:rFonts w:ascii="Arial" w:hAnsi="Arial" w:cs="Arial"/>
          <w:i/>
          <w:color w:val="000000"/>
        </w:rPr>
      </w:pPr>
      <w:r w:rsidRPr="003B76EE">
        <w:rPr>
          <w:rFonts w:ascii="Arial" w:hAnsi="Arial" w:cs="Arial"/>
          <w:color w:val="000000"/>
        </w:rPr>
        <w:t xml:space="preserve">aktualna wartość rynkowa środków trwałych, w tym dóbr kultury </w:t>
      </w:r>
      <w:r w:rsidRPr="00686DE9">
        <w:rPr>
          <w:rFonts w:ascii="Arial" w:hAnsi="Arial" w:cs="Arial"/>
          <w:b/>
          <w:color w:val="000000"/>
        </w:rPr>
        <w:t xml:space="preserve">– </w:t>
      </w:r>
      <w:r w:rsidRPr="003B76EE">
        <w:rPr>
          <w:rFonts w:ascii="Arial" w:hAnsi="Arial" w:cs="Arial"/>
          <w:i/>
          <w:color w:val="000000"/>
        </w:rPr>
        <w:t>o ile jednostka dysponuje ta</w:t>
      </w:r>
      <w:r>
        <w:rPr>
          <w:rFonts w:ascii="Arial" w:hAnsi="Arial" w:cs="Arial"/>
          <w:i/>
          <w:color w:val="000000"/>
        </w:rPr>
        <w:t>kimi informacjami;</w:t>
      </w:r>
    </w:p>
    <w:p w14:paraId="12C38E34" w14:textId="77777777" w:rsidR="00B3039A" w:rsidRDefault="00B3039A" w:rsidP="00CA3565">
      <w:pPr>
        <w:pStyle w:val="Akapitzlist"/>
        <w:numPr>
          <w:ilvl w:val="0"/>
          <w:numId w:val="18"/>
        </w:numPr>
        <w:spacing w:after="0"/>
        <w:ind w:left="1134" w:hanging="425"/>
        <w:rPr>
          <w:rFonts w:ascii="Arial" w:hAnsi="Arial" w:cs="Arial"/>
          <w:i/>
          <w:color w:val="000000"/>
        </w:rPr>
      </w:pPr>
      <w:r>
        <w:rPr>
          <w:rFonts w:ascii="Arial" w:hAnsi="Arial" w:cs="Arial"/>
          <w:color w:val="000000"/>
        </w:rPr>
        <w:t>k</w:t>
      </w:r>
      <w:r w:rsidRPr="00A80B36">
        <w:rPr>
          <w:rFonts w:ascii="Arial" w:hAnsi="Arial" w:cs="Arial"/>
          <w:color w:val="000000"/>
        </w:rPr>
        <w:t>wotę dokonanych w trakcie roku obrotowego odpisów aktualizujących wartość</w:t>
      </w:r>
      <w:r w:rsidRPr="00A80B36">
        <w:rPr>
          <w:rFonts w:ascii="Arial" w:hAnsi="Arial" w:cs="Arial"/>
          <w:color w:val="000000"/>
        </w:rPr>
        <w:br/>
        <w:t>aktywów trwałych odrębnie dla długoterminowych aktywów niefinansowych oraz</w:t>
      </w:r>
      <w:r w:rsidRPr="00A80B36">
        <w:rPr>
          <w:rFonts w:ascii="Arial" w:hAnsi="Arial" w:cs="Arial"/>
          <w:color w:val="000000"/>
        </w:rPr>
        <w:br/>
      </w:r>
      <w:r w:rsidRPr="00A80B36">
        <w:rPr>
          <w:rFonts w:ascii="Arial" w:hAnsi="Arial" w:cs="Arial"/>
          <w:color w:val="000000"/>
        </w:rPr>
        <w:lastRenderedPageBreak/>
        <w:t>długoterminowych aktywów finansowych</w:t>
      </w:r>
      <w:r>
        <w:rPr>
          <w:rFonts w:ascii="Arial" w:hAnsi="Arial" w:cs="Arial"/>
          <w:color w:val="000000"/>
        </w:rPr>
        <w:t xml:space="preserve"> - </w:t>
      </w:r>
      <w:r w:rsidRPr="003B76EE">
        <w:rPr>
          <w:rFonts w:ascii="Arial" w:hAnsi="Arial" w:cs="Arial"/>
          <w:i/>
          <w:color w:val="000000"/>
        </w:rPr>
        <w:t>należy przedstawić zgodnie</w:t>
      </w:r>
      <w:r w:rsidRPr="003B76EE">
        <w:rPr>
          <w:rFonts w:ascii="Arial" w:hAnsi="Arial" w:cs="Arial"/>
          <w:i/>
          <w:color w:val="000000"/>
        </w:rPr>
        <w:br/>
        <w:t>z załącznikie</w:t>
      </w:r>
      <w:r>
        <w:rPr>
          <w:rFonts w:ascii="Arial" w:hAnsi="Arial" w:cs="Arial"/>
          <w:i/>
          <w:color w:val="000000"/>
        </w:rPr>
        <w:t>m nr 3 do informacji dodatkowej;</w:t>
      </w:r>
    </w:p>
    <w:p w14:paraId="73331856" w14:textId="77777777" w:rsidR="00B3039A" w:rsidRPr="00A02E93" w:rsidRDefault="00B3039A" w:rsidP="00CA3565">
      <w:pPr>
        <w:pStyle w:val="Akapitzlist"/>
        <w:numPr>
          <w:ilvl w:val="0"/>
          <w:numId w:val="18"/>
        </w:numPr>
        <w:spacing w:after="0"/>
        <w:ind w:left="1134" w:hanging="567"/>
        <w:rPr>
          <w:rFonts w:ascii="Arial" w:hAnsi="Arial" w:cs="Arial"/>
          <w:i/>
        </w:rPr>
      </w:pPr>
      <w:r w:rsidRPr="00A02E93">
        <w:rPr>
          <w:rFonts w:ascii="Arial" w:hAnsi="Arial" w:cs="Arial"/>
        </w:rPr>
        <w:t xml:space="preserve">wartość gruntów użytkowanych wieczyście - </w:t>
      </w:r>
      <w:r w:rsidRPr="00A02E93">
        <w:rPr>
          <w:rFonts w:ascii="Arial" w:hAnsi="Arial" w:cs="Arial"/>
          <w:i/>
        </w:rPr>
        <w:t>(d</w:t>
      </w:r>
      <w:r>
        <w:rPr>
          <w:rFonts w:ascii="Arial" w:hAnsi="Arial" w:cs="Arial"/>
          <w:i/>
        </w:rPr>
        <w:t>otyczy tylko Urzędu Miejskiego);</w:t>
      </w:r>
    </w:p>
    <w:p w14:paraId="0A3984F8" w14:textId="77777777" w:rsidR="00B3039A" w:rsidRPr="00283D99" w:rsidRDefault="00B3039A" w:rsidP="00CA3565">
      <w:pPr>
        <w:pStyle w:val="Akapitzlist"/>
        <w:numPr>
          <w:ilvl w:val="0"/>
          <w:numId w:val="18"/>
        </w:numPr>
        <w:spacing w:after="0"/>
        <w:ind w:left="1134" w:hanging="567"/>
        <w:rPr>
          <w:rFonts w:ascii="Arial" w:hAnsi="Arial" w:cs="Arial"/>
          <w:i/>
          <w:color w:val="000000"/>
        </w:rPr>
      </w:pPr>
      <w:r w:rsidRPr="00855220">
        <w:rPr>
          <w:rFonts w:ascii="Arial" w:hAnsi="Arial" w:cs="Arial"/>
          <w:color w:val="000000"/>
        </w:rPr>
        <w:t xml:space="preserve">wartość nieamortyzowanych lub nieumarzanych przez jednostkę środków trwałych, używanych na podstawie umów najmu, dzierżawy i innych umów, </w:t>
      </w:r>
      <w:r w:rsidRPr="00855220">
        <w:rPr>
          <w:rFonts w:ascii="Arial" w:hAnsi="Arial" w:cs="Arial"/>
          <w:color w:val="000000"/>
        </w:rPr>
        <w:br/>
        <w:t>w tym z tytułu umów leasingu</w:t>
      </w:r>
      <w:r>
        <w:rPr>
          <w:rFonts w:ascii="Arial" w:hAnsi="Arial" w:cs="Arial"/>
          <w:color w:val="000000"/>
        </w:rPr>
        <w:t xml:space="preserve"> - </w:t>
      </w:r>
      <w:r>
        <w:rPr>
          <w:rFonts w:ascii="Arial" w:hAnsi="Arial" w:cs="Arial"/>
          <w:i/>
          <w:color w:val="000000"/>
        </w:rPr>
        <w:t>p</w:t>
      </w:r>
      <w:r w:rsidRPr="00283D99">
        <w:rPr>
          <w:rFonts w:ascii="Arial" w:hAnsi="Arial" w:cs="Arial"/>
          <w:i/>
          <w:color w:val="000000"/>
        </w:rPr>
        <w:t>owyższe umowy charakteryzują się tym, że środki trwałe użytkowane na ich podstawie nadal pozostają w księgach ich właścicieli</w:t>
      </w:r>
      <w:r>
        <w:rPr>
          <w:rFonts w:ascii="Arial" w:hAnsi="Arial" w:cs="Arial"/>
          <w:i/>
          <w:color w:val="000000"/>
        </w:rPr>
        <w:t>, w</w:t>
      </w:r>
      <w:r w:rsidRPr="00283D99">
        <w:rPr>
          <w:rFonts w:ascii="Arial" w:hAnsi="Arial" w:cs="Arial"/>
          <w:i/>
          <w:color w:val="000000"/>
        </w:rPr>
        <w:t>artość takich środków trwałych ujmuje się</w:t>
      </w:r>
      <w:r>
        <w:rPr>
          <w:rFonts w:ascii="Arial" w:hAnsi="Arial" w:cs="Arial"/>
          <w:i/>
          <w:color w:val="000000"/>
        </w:rPr>
        <w:t xml:space="preserve"> w ewidencji pozabilansowej, </w:t>
      </w:r>
      <w:r w:rsidRPr="00283D99">
        <w:rPr>
          <w:rFonts w:ascii="Arial" w:hAnsi="Arial" w:cs="Arial"/>
          <w:i/>
          <w:color w:val="000000"/>
        </w:rPr>
        <w:t>informację tę</w:t>
      </w:r>
      <w:r>
        <w:rPr>
          <w:rFonts w:ascii="Arial" w:hAnsi="Arial" w:cs="Arial"/>
          <w:i/>
          <w:color w:val="000000"/>
        </w:rPr>
        <w:t xml:space="preserve"> należy przedstawić zgodnie z załącznikiem nr 4 do informacji dodatkowej;</w:t>
      </w:r>
    </w:p>
    <w:p w14:paraId="5BAEDCF5" w14:textId="77777777" w:rsidR="00B3039A" w:rsidRPr="001F468A" w:rsidRDefault="00B3039A" w:rsidP="00CA3565">
      <w:pPr>
        <w:pStyle w:val="Akapitzlist"/>
        <w:numPr>
          <w:ilvl w:val="0"/>
          <w:numId w:val="18"/>
        </w:numPr>
        <w:spacing w:after="0"/>
        <w:ind w:left="1134" w:hanging="567"/>
        <w:rPr>
          <w:rFonts w:ascii="Arial" w:hAnsi="Arial" w:cs="Arial"/>
          <w:i/>
          <w:color w:val="000000"/>
        </w:rPr>
      </w:pPr>
      <w:r>
        <w:rPr>
          <w:rFonts w:ascii="Arial" w:hAnsi="Arial" w:cs="Arial"/>
          <w:color w:val="000000"/>
        </w:rPr>
        <w:t>l</w:t>
      </w:r>
      <w:r w:rsidRPr="00D15D69">
        <w:rPr>
          <w:rFonts w:ascii="Arial" w:hAnsi="Arial" w:cs="Arial"/>
          <w:color w:val="000000"/>
        </w:rPr>
        <w:t xml:space="preserve">iczbę oraz wartość posiadanych papierów wartościowych, w tym akcji </w:t>
      </w:r>
      <w:r>
        <w:rPr>
          <w:rFonts w:ascii="Arial" w:hAnsi="Arial" w:cs="Arial"/>
          <w:color w:val="000000"/>
        </w:rPr>
        <w:br/>
      </w:r>
      <w:r w:rsidRPr="00D15D69">
        <w:rPr>
          <w:rFonts w:ascii="Arial" w:hAnsi="Arial" w:cs="Arial"/>
          <w:color w:val="000000"/>
        </w:rPr>
        <w:t>i udziałów oraz dłużnych papierów wartościowych</w:t>
      </w:r>
      <w:r>
        <w:rPr>
          <w:rFonts w:ascii="Arial" w:hAnsi="Arial" w:cs="Arial"/>
          <w:color w:val="000000"/>
        </w:rPr>
        <w:t xml:space="preserve"> – </w:t>
      </w:r>
      <w:r w:rsidRPr="001F468A">
        <w:rPr>
          <w:rFonts w:ascii="Arial" w:hAnsi="Arial" w:cs="Arial"/>
          <w:i/>
          <w:color w:val="000000"/>
        </w:rPr>
        <w:t xml:space="preserve">informacja wynika </w:t>
      </w:r>
      <w:r>
        <w:rPr>
          <w:rFonts w:ascii="Arial" w:hAnsi="Arial" w:cs="Arial"/>
          <w:i/>
          <w:color w:val="000000"/>
        </w:rPr>
        <w:br/>
      </w:r>
      <w:r w:rsidRPr="001F468A">
        <w:rPr>
          <w:rFonts w:ascii="Arial" w:hAnsi="Arial" w:cs="Arial"/>
          <w:i/>
          <w:color w:val="000000"/>
        </w:rPr>
        <w:t>z ewidencji analityczne konta 030 „Długoterminowe aktywa finansowe”. Należy wskazać wartość oraz liczbę posiadanych papierów wartościowych w podziale na ich rodzaje i jakiego podmiotu</w:t>
      </w:r>
      <w:r>
        <w:rPr>
          <w:rFonts w:ascii="Arial" w:hAnsi="Arial" w:cs="Arial"/>
          <w:i/>
          <w:color w:val="000000"/>
        </w:rPr>
        <w:t xml:space="preserve"> dotyczy, informacje te należy przedstawić zgodnie z załącznikiem nr 5;</w:t>
      </w:r>
    </w:p>
    <w:p w14:paraId="5E5F8C0D" w14:textId="77777777" w:rsidR="00B3039A" w:rsidRPr="00A02E93" w:rsidRDefault="00B3039A" w:rsidP="00CA3565">
      <w:pPr>
        <w:pStyle w:val="Akapitzlist"/>
        <w:numPr>
          <w:ilvl w:val="0"/>
          <w:numId w:val="18"/>
        </w:numPr>
        <w:spacing w:after="0"/>
        <w:ind w:left="1134" w:hanging="567"/>
        <w:rPr>
          <w:rFonts w:ascii="Arial" w:hAnsi="Arial" w:cs="Arial"/>
          <w:i/>
          <w:color w:val="000000"/>
        </w:rPr>
      </w:pPr>
      <w:r w:rsidRPr="00855220">
        <w:rPr>
          <w:rFonts w:ascii="Arial" w:hAnsi="Arial" w:cs="Arial"/>
          <w:color w:val="000000"/>
        </w:rPr>
        <w:t xml:space="preserve">dane o odpisach aktualizujących wartość należności, ze wskazaniem stanu na początek roku obrotowego, zwiększeniach, wykorzystaniu, rozwiązaniu i stanie na koniec roku obrotowego, z uwzględnieniem należności finansowych jednostek samorządu terytorialnego </w:t>
      </w:r>
      <w:r>
        <w:rPr>
          <w:rFonts w:ascii="Arial" w:hAnsi="Arial" w:cs="Arial"/>
          <w:color w:val="000000"/>
        </w:rPr>
        <w:t xml:space="preserve">(stan pożyczek zagrożonych) - </w:t>
      </w:r>
      <w:r w:rsidRPr="003B76EE">
        <w:rPr>
          <w:rFonts w:ascii="Arial" w:hAnsi="Arial" w:cs="Arial"/>
          <w:i/>
          <w:color w:val="000000"/>
        </w:rPr>
        <w:t>i</w:t>
      </w:r>
      <w:r>
        <w:rPr>
          <w:rFonts w:ascii="Arial" w:hAnsi="Arial" w:cs="Arial"/>
          <w:i/>
          <w:color w:val="000000"/>
        </w:rPr>
        <w:t>nformację tę</w:t>
      </w:r>
      <w:r w:rsidRPr="003B76EE">
        <w:rPr>
          <w:rFonts w:ascii="Arial" w:hAnsi="Arial" w:cs="Arial"/>
          <w:i/>
          <w:color w:val="000000"/>
        </w:rPr>
        <w:t xml:space="preserve"> należy przedst</w:t>
      </w:r>
      <w:r>
        <w:rPr>
          <w:rFonts w:ascii="Arial" w:hAnsi="Arial" w:cs="Arial"/>
          <w:i/>
          <w:color w:val="000000"/>
        </w:rPr>
        <w:t>awić zgodnie z załącznikiem nr 6 do informacji dodatkowej;</w:t>
      </w:r>
    </w:p>
    <w:p w14:paraId="128CC1E4" w14:textId="77777777" w:rsidR="00B3039A" w:rsidRDefault="00B3039A" w:rsidP="00CA3565">
      <w:pPr>
        <w:pStyle w:val="Akapitzlist"/>
        <w:numPr>
          <w:ilvl w:val="0"/>
          <w:numId w:val="18"/>
        </w:numPr>
        <w:ind w:left="1134" w:hanging="567"/>
        <w:rPr>
          <w:rFonts w:ascii="Arial" w:hAnsi="Arial" w:cs="Arial"/>
          <w:i/>
          <w:color w:val="000000"/>
        </w:rPr>
      </w:pPr>
      <w:r w:rsidRPr="00830B96">
        <w:rPr>
          <w:rFonts w:ascii="Arial" w:hAnsi="Arial" w:cs="Arial"/>
          <w:color w:val="000000"/>
        </w:rPr>
        <w:t>dane o stanie rezerw według celu ich utworzenia na początek roku obrotowego, zwiększeniach, wykorzystaniu, rozwiązaniu i stanie końcowym</w:t>
      </w:r>
      <w:r>
        <w:rPr>
          <w:rFonts w:ascii="Arial" w:hAnsi="Arial" w:cs="Arial"/>
          <w:color w:val="000000"/>
        </w:rPr>
        <w:t xml:space="preserve"> – </w:t>
      </w:r>
      <w:r w:rsidRPr="009159C4">
        <w:rPr>
          <w:rFonts w:ascii="Arial" w:hAnsi="Arial" w:cs="Arial"/>
          <w:i/>
          <w:color w:val="000000"/>
        </w:rPr>
        <w:t>w sytuacji</w:t>
      </w:r>
      <w:r w:rsidRPr="00D96A20">
        <w:rPr>
          <w:rFonts w:ascii="Arial" w:hAnsi="Arial" w:cs="Arial"/>
          <w:i/>
          <w:color w:val="000000"/>
        </w:rPr>
        <w:t xml:space="preserve"> kiedy jednostka tworzy rezerwy</w:t>
      </w:r>
      <w:r>
        <w:rPr>
          <w:rFonts w:ascii="Arial" w:hAnsi="Arial" w:cs="Arial"/>
          <w:i/>
          <w:color w:val="000000"/>
        </w:rPr>
        <w:t>,</w:t>
      </w:r>
      <w:r w:rsidRPr="00D96A20">
        <w:rPr>
          <w:rFonts w:ascii="Arial" w:hAnsi="Arial" w:cs="Arial"/>
          <w:i/>
          <w:color w:val="000000"/>
        </w:rPr>
        <w:t xml:space="preserve"> informację tę należy przedstawić zgodnie </w:t>
      </w:r>
      <w:r>
        <w:rPr>
          <w:rFonts w:ascii="Arial" w:hAnsi="Arial" w:cs="Arial"/>
          <w:i/>
          <w:color w:val="000000"/>
        </w:rPr>
        <w:br/>
      </w:r>
      <w:r w:rsidRPr="00D96A20">
        <w:rPr>
          <w:rFonts w:ascii="Arial" w:hAnsi="Arial" w:cs="Arial"/>
          <w:i/>
          <w:color w:val="000000"/>
        </w:rPr>
        <w:t>z</w:t>
      </w:r>
      <w:r>
        <w:rPr>
          <w:rFonts w:ascii="Arial" w:hAnsi="Arial" w:cs="Arial"/>
          <w:i/>
          <w:color w:val="000000"/>
        </w:rPr>
        <w:t xml:space="preserve"> załącznikiem nr 7 do informacji dodatkowej;</w:t>
      </w:r>
    </w:p>
    <w:p w14:paraId="3CF70246" w14:textId="77777777" w:rsidR="00B3039A" w:rsidRPr="00D15D69" w:rsidRDefault="00B3039A" w:rsidP="00CA3565">
      <w:pPr>
        <w:pStyle w:val="Akapitzlist"/>
        <w:numPr>
          <w:ilvl w:val="0"/>
          <w:numId w:val="18"/>
        </w:numPr>
        <w:spacing w:after="0"/>
        <w:ind w:left="1134" w:hanging="567"/>
        <w:rPr>
          <w:rFonts w:ascii="Arial" w:hAnsi="Arial" w:cs="Arial"/>
          <w:color w:val="000000"/>
        </w:rPr>
      </w:pPr>
      <w:r>
        <w:rPr>
          <w:rFonts w:ascii="Arial" w:hAnsi="Arial" w:cs="Arial"/>
          <w:color w:val="000000"/>
        </w:rPr>
        <w:t>p</w:t>
      </w:r>
      <w:r w:rsidRPr="00D15D69">
        <w:rPr>
          <w:rFonts w:ascii="Arial" w:hAnsi="Arial" w:cs="Arial"/>
          <w:color w:val="000000"/>
        </w:rPr>
        <w:t xml:space="preserve">odział zobowiązań długoterminowych </w:t>
      </w:r>
      <w:r w:rsidRPr="001061EB">
        <w:rPr>
          <w:rFonts w:ascii="Arial" w:hAnsi="Arial" w:cs="Arial"/>
          <w:color w:val="000000"/>
        </w:rPr>
        <w:t>o pozostałym od dnia bilansowego, przewidywanym umową lub wynikającym z innego</w:t>
      </w:r>
      <w:r w:rsidRPr="00D15D69">
        <w:rPr>
          <w:rFonts w:ascii="Arial" w:hAnsi="Arial" w:cs="Arial"/>
          <w:color w:val="000000"/>
        </w:rPr>
        <w:t xml:space="preserve"> tytułu prawnego, okresie spłaty:</w:t>
      </w:r>
    </w:p>
    <w:p w14:paraId="6B1F04FA" w14:textId="77777777" w:rsidR="00B3039A" w:rsidRDefault="00B3039A" w:rsidP="00CA3565">
      <w:pPr>
        <w:pStyle w:val="Akapitzlist"/>
        <w:numPr>
          <w:ilvl w:val="0"/>
          <w:numId w:val="19"/>
        </w:numPr>
        <w:spacing w:after="0"/>
        <w:ind w:left="1644" w:hanging="397"/>
        <w:rPr>
          <w:rFonts w:ascii="Arial" w:hAnsi="Arial" w:cs="Arial"/>
          <w:color w:val="000000"/>
        </w:rPr>
      </w:pPr>
      <w:r>
        <w:rPr>
          <w:rFonts w:ascii="Arial" w:hAnsi="Arial" w:cs="Arial"/>
          <w:color w:val="000000"/>
        </w:rPr>
        <w:t>powyżej 1 roku do 3 lat,</w:t>
      </w:r>
    </w:p>
    <w:p w14:paraId="200EEAF3" w14:textId="77777777" w:rsidR="00B3039A" w:rsidRDefault="00B3039A" w:rsidP="00CA3565">
      <w:pPr>
        <w:pStyle w:val="Akapitzlist"/>
        <w:numPr>
          <w:ilvl w:val="0"/>
          <w:numId w:val="19"/>
        </w:numPr>
        <w:spacing w:after="0"/>
        <w:ind w:left="1644" w:hanging="397"/>
        <w:rPr>
          <w:rFonts w:ascii="Arial" w:hAnsi="Arial" w:cs="Arial"/>
          <w:color w:val="000000"/>
        </w:rPr>
      </w:pPr>
      <w:r w:rsidRPr="00A02E93">
        <w:rPr>
          <w:rFonts w:ascii="Arial" w:hAnsi="Arial" w:cs="Arial"/>
          <w:color w:val="000000"/>
        </w:rPr>
        <w:t>powyżej 3 do 5 lat</w:t>
      </w:r>
      <w:r>
        <w:rPr>
          <w:rFonts w:ascii="Arial" w:hAnsi="Arial" w:cs="Arial"/>
          <w:color w:val="000000"/>
        </w:rPr>
        <w:t>,</w:t>
      </w:r>
    </w:p>
    <w:p w14:paraId="77583721" w14:textId="77777777" w:rsidR="00B3039A" w:rsidRPr="00A02E93" w:rsidRDefault="00B3039A" w:rsidP="00CA3565">
      <w:pPr>
        <w:pStyle w:val="Akapitzlist"/>
        <w:numPr>
          <w:ilvl w:val="0"/>
          <w:numId w:val="19"/>
        </w:numPr>
        <w:spacing w:after="0"/>
        <w:ind w:left="1644" w:hanging="397"/>
        <w:rPr>
          <w:rFonts w:ascii="Arial" w:hAnsi="Arial" w:cs="Arial"/>
          <w:color w:val="000000"/>
        </w:rPr>
      </w:pPr>
      <w:r w:rsidRPr="00A02E93">
        <w:rPr>
          <w:rFonts w:ascii="Arial" w:hAnsi="Arial" w:cs="Arial"/>
          <w:color w:val="000000"/>
        </w:rPr>
        <w:t>powyżej 5 lat</w:t>
      </w:r>
      <w:r>
        <w:rPr>
          <w:rFonts w:ascii="Arial" w:hAnsi="Arial" w:cs="Arial"/>
          <w:color w:val="000000"/>
        </w:rPr>
        <w:t>,</w:t>
      </w:r>
    </w:p>
    <w:p w14:paraId="0E47D870" w14:textId="77777777" w:rsidR="00B3039A" w:rsidRDefault="00B3039A" w:rsidP="00CA3565">
      <w:pPr>
        <w:pStyle w:val="Akapitzlist"/>
        <w:spacing w:after="0"/>
        <w:ind w:left="1134"/>
        <w:rPr>
          <w:rFonts w:ascii="Arial" w:hAnsi="Arial" w:cs="Arial"/>
          <w:i/>
          <w:color w:val="000000"/>
        </w:rPr>
      </w:pPr>
      <w:r w:rsidRPr="00AD6804">
        <w:rPr>
          <w:rFonts w:ascii="Arial" w:hAnsi="Arial" w:cs="Arial"/>
          <w:i/>
          <w:color w:val="000000"/>
        </w:rPr>
        <w:t>W punkcie tym należy przedstawić długoterminowe zobowiązania według okresu ich spłaty</w:t>
      </w:r>
      <w:r>
        <w:rPr>
          <w:rFonts w:ascii="Arial" w:hAnsi="Arial" w:cs="Arial"/>
          <w:i/>
          <w:color w:val="000000"/>
        </w:rPr>
        <w:t xml:space="preserve"> </w:t>
      </w:r>
      <w:r w:rsidRPr="003B76EE">
        <w:rPr>
          <w:rFonts w:ascii="Arial" w:hAnsi="Arial" w:cs="Arial"/>
          <w:i/>
          <w:color w:val="000000"/>
        </w:rPr>
        <w:t>np.: zakupy na raty, kredyty, pożyczki)</w:t>
      </w:r>
      <w:r>
        <w:rPr>
          <w:rFonts w:ascii="Arial" w:hAnsi="Arial" w:cs="Arial"/>
          <w:i/>
          <w:color w:val="000000"/>
        </w:rPr>
        <w:t>;</w:t>
      </w:r>
      <w:r w:rsidRPr="003B76EE">
        <w:rPr>
          <w:rFonts w:ascii="Arial" w:hAnsi="Arial" w:cs="Arial"/>
          <w:i/>
          <w:color w:val="000000"/>
        </w:rPr>
        <w:t xml:space="preserve"> </w:t>
      </w:r>
    </w:p>
    <w:p w14:paraId="75470671" w14:textId="06174E7C" w:rsidR="00B3039A" w:rsidRDefault="00B3039A" w:rsidP="00CA3565">
      <w:pPr>
        <w:pStyle w:val="Akapitzlist"/>
        <w:numPr>
          <w:ilvl w:val="0"/>
          <w:numId w:val="18"/>
        </w:numPr>
        <w:spacing w:after="0"/>
        <w:ind w:left="1134" w:hanging="567"/>
        <w:rPr>
          <w:rFonts w:ascii="Arial" w:hAnsi="Arial" w:cs="Arial"/>
          <w:color w:val="000000"/>
        </w:rPr>
      </w:pPr>
      <w:r>
        <w:rPr>
          <w:rFonts w:ascii="Arial" w:hAnsi="Arial" w:cs="Arial"/>
          <w:color w:val="000000"/>
        </w:rPr>
        <w:t>k</w:t>
      </w:r>
      <w:r w:rsidRPr="00D15D69">
        <w:rPr>
          <w:rFonts w:ascii="Arial" w:hAnsi="Arial" w:cs="Arial"/>
          <w:color w:val="000000"/>
        </w:rPr>
        <w:t xml:space="preserve">wotę zobowiązań w sytuacji gdy jednostka kwalifikuje umowy leasingu zgodnie </w:t>
      </w:r>
      <w:r>
        <w:rPr>
          <w:rFonts w:ascii="Arial" w:hAnsi="Arial" w:cs="Arial"/>
          <w:color w:val="000000"/>
        </w:rPr>
        <w:br/>
      </w:r>
      <w:r w:rsidRPr="00D15D69">
        <w:rPr>
          <w:rFonts w:ascii="Arial" w:hAnsi="Arial" w:cs="Arial"/>
          <w:color w:val="000000"/>
        </w:rPr>
        <w:t xml:space="preserve">z przepisami podatkowymi (leasing operacyjny), a według przepisów </w:t>
      </w:r>
      <w:r>
        <w:rPr>
          <w:rFonts w:ascii="Arial" w:hAnsi="Arial" w:cs="Arial"/>
          <w:color w:val="000000"/>
        </w:rPr>
        <w:br/>
      </w:r>
      <w:r w:rsidRPr="00D15D69">
        <w:rPr>
          <w:rFonts w:ascii="Arial" w:hAnsi="Arial" w:cs="Arial"/>
          <w:color w:val="000000"/>
        </w:rPr>
        <w:t>o rachunkowości byłby to leasing finansowy lub zwrotny z podziałem na kwotę zobowiązań z tytułu leasingu finansowego lub leasingu zwrotnego</w:t>
      </w:r>
      <w:r>
        <w:rPr>
          <w:rFonts w:ascii="Arial" w:hAnsi="Arial" w:cs="Arial"/>
          <w:color w:val="000000"/>
        </w:rPr>
        <w:t>;</w:t>
      </w:r>
    </w:p>
    <w:p w14:paraId="40CF2160" w14:textId="77777777" w:rsidR="00B3039A" w:rsidRDefault="00B3039A" w:rsidP="00CA3565">
      <w:pPr>
        <w:pStyle w:val="Akapitzlist"/>
        <w:numPr>
          <w:ilvl w:val="0"/>
          <w:numId w:val="18"/>
        </w:numPr>
        <w:spacing w:after="0"/>
        <w:ind w:left="1134" w:hanging="567"/>
        <w:rPr>
          <w:rFonts w:ascii="Arial" w:hAnsi="Arial" w:cs="Arial"/>
          <w:i/>
          <w:color w:val="000000"/>
        </w:rPr>
      </w:pPr>
      <w:r>
        <w:rPr>
          <w:rFonts w:ascii="Arial" w:hAnsi="Arial" w:cs="Arial"/>
          <w:color w:val="000000"/>
        </w:rPr>
        <w:t>ł</w:t>
      </w:r>
      <w:r w:rsidRPr="00D15D69">
        <w:rPr>
          <w:rFonts w:ascii="Arial" w:hAnsi="Arial" w:cs="Arial"/>
          <w:color w:val="000000"/>
        </w:rPr>
        <w:t>ączną kwotę zobowiązań zabezpieczonych na majątku jednostki ze wskazaniem charakteru i formy tych zabezpieczeń</w:t>
      </w:r>
      <w:r>
        <w:rPr>
          <w:rFonts w:ascii="Arial" w:hAnsi="Arial" w:cs="Arial"/>
          <w:color w:val="000000"/>
        </w:rPr>
        <w:t xml:space="preserve"> – </w:t>
      </w:r>
      <w:r>
        <w:rPr>
          <w:rFonts w:ascii="Arial" w:hAnsi="Arial" w:cs="Arial"/>
          <w:i/>
          <w:color w:val="000000"/>
        </w:rPr>
        <w:t xml:space="preserve">informacja dotyczy zobowiązań wykazanych w bilansie, które wskazują na ograniczenia majątkiem jednostki – zazwyczaj w związku z zaciągnięciem kredytu lub pożyczki. Te ograniczenia mogą wynikać z ustanowienia następujących zabezpieczeń na poszczególnych składnikach aktywów: 1) hipoteki (nieruchomości), 2) przewłaszczenia na zabezpieczenie (prawo własności rzeczy ruchomej lub papiery wartościowe), </w:t>
      </w:r>
      <w:r>
        <w:rPr>
          <w:rFonts w:ascii="Arial" w:hAnsi="Arial" w:cs="Arial"/>
          <w:i/>
          <w:color w:val="000000"/>
        </w:rPr>
        <w:br/>
        <w:t>3) zastawu (rzeczy lub prawa zbywalne), 4) kaucji pieniężnej (środki pieniężne);</w:t>
      </w:r>
    </w:p>
    <w:p w14:paraId="65403152" w14:textId="77777777" w:rsidR="00B3039A" w:rsidRDefault="00B3039A" w:rsidP="00CA3565">
      <w:pPr>
        <w:pStyle w:val="Akapitzlist"/>
        <w:numPr>
          <w:ilvl w:val="0"/>
          <w:numId w:val="18"/>
        </w:numPr>
        <w:ind w:left="1134" w:hanging="567"/>
        <w:rPr>
          <w:rFonts w:ascii="Arial" w:hAnsi="Arial" w:cs="Arial"/>
          <w:i/>
          <w:color w:val="000000"/>
        </w:rPr>
      </w:pPr>
      <w:r w:rsidRPr="00327D9A">
        <w:rPr>
          <w:rFonts w:ascii="Arial" w:hAnsi="Arial" w:cs="Arial"/>
          <w:color w:val="000000"/>
        </w:rPr>
        <w:t>łączną kwotę zobowiązań warunkowych, w tym również udzielonych przez jednostkę gwarancji i poręczeń, także wekslowych, niewykazanych w bilansie, ze wskazaniem zobowiązań zabezpieczonych na majątku jednostki oraz charak</w:t>
      </w:r>
      <w:r>
        <w:rPr>
          <w:rFonts w:ascii="Arial" w:hAnsi="Arial" w:cs="Arial"/>
          <w:color w:val="000000"/>
        </w:rPr>
        <w:t>te</w:t>
      </w:r>
      <w:r w:rsidRPr="00327D9A">
        <w:rPr>
          <w:rFonts w:ascii="Arial" w:hAnsi="Arial" w:cs="Arial"/>
          <w:color w:val="000000"/>
        </w:rPr>
        <w:t xml:space="preserve">ru </w:t>
      </w:r>
      <w:r w:rsidRPr="00327D9A">
        <w:rPr>
          <w:rFonts w:ascii="Arial" w:hAnsi="Arial" w:cs="Arial"/>
          <w:color w:val="000000"/>
        </w:rPr>
        <w:lastRenderedPageBreak/>
        <w:t>i formy tych zabezpieczeń</w:t>
      </w:r>
      <w:r>
        <w:rPr>
          <w:rFonts w:ascii="Arial" w:hAnsi="Arial" w:cs="Arial"/>
          <w:color w:val="000000"/>
        </w:rPr>
        <w:t xml:space="preserve"> – </w:t>
      </w:r>
      <w:r w:rsidRPr="00783762">
        <w:rPr>
          <w:rFonts w:ascii="Arial" w:hAnsi="Arial" w:cs="Arial"/>
          <w:i/>
          <w:color w:val="000000"/>
        </w:rPr>
        <w:t>np.: zobowiązań z tytułu poręczeń i</w:t>
      </w:r>
      <w:r>
        <w:rPr>
          <w:rFonts w:ascii="Arial" w:hAnsi="Arial" w:cs="Arial"/>
          <w:i/>
          <w:color w:val="000000"/>
        </w:rPr>
        <w:t xml:space="preserve"> gwarancji</w:t>
      </w:r>
      <w:r w:rsidRPr="00783762">
        <w:rPr>
          <w:rFonts w:ascii="Arial" w:hAnsi="Arial" w:cs="Arial"/>
          <w:i/>
          <w:color w:val="000000"/>
        </w:rPr>
        <w:t>,</w:t>
      </w:r>
      <w:r>
        <w:rPr>
          <w:rFonts w:ascii="Arial" w:hAnsi="Arial" w:cs="Arial"/>
          <w:i/>
          <w:color w:val="000000"/>
        </w:rPr>
        <w:t xml:space="preserve"> nieuznanie przez jednostkę roszczeń innych jednostek, dochodzonych na drodze postepowania sądowego o ile nie utworzono na ten cel rezerwy;</w:t>
      </w:r>
    </w:p>
    <w:p w14:paraId="6AB101A2" w14:textId="136DFD95" w:rsidR="00B3039A" w:rsidRPr="006807B9" w:rsidRDefault="00B3039A" w:rsidP="00CA3565">
      <w:pPr>
        <w:pStyle w:val="Akapitzlist"/>
        <w:numPr>
          <w:ilvl w:val="0"/>
          <w:numId w:val="18"/>
        </w:numPr>
        <w:spacing w:after="0"/>
        <w:ind w:left="1134" w:hanging="567"/>
        <w:rPr>
          <w:rFonts w:ascii="Arial" w:hAnsi="Arial" w:cs="Arial"/>
          <w:i/>
          <w:color w:val="000000"/>
        </w:rPr>
      </w:pPr>
      <w:r>
        <w:rPr>
          <w:rFonts w:ascii="Arial" w:hAnsi="Arial" w:cs="Arial"/>
          <w:color w:val="000000"/>
        </w:rPr>
        <w:t>w</w:t>
      </w:r>
      <w:r w:rsidRPr="00D15D69">
        <w:rPr>
          <w:rFonts w:ascii="Arial" w:hAnsi="Arial" w:cs="Arial"/>
          <w:color w:val="000000"/>
        </w:rPr>
        <w:t xml:space="preserve">ykaz istotnych pozycji czynnych i biernych rozliczeń międzyokresowych, w tym kwotę czynnych rozliczeń międzyokresowych kosztów stanowiących różnicę między wartością otrzymanych finansowych składników aktywów </w:t>
      </w:r>
      <w:r>
        <w:rPr>
          <w:rFonts w:ascii="Arial" w:hAnsi="Arial" w:cs="Arial"/>
          <w:color w:val="000000"/>
        </w:rPr>
        <w:br/>
        <w:t xml:space="preserve">a zobowiązaniem zapłaty za nie - </w:t>
      </w:r>
      <w:r w:rsidRPr="006807B9">
        <w:rPr>
          <w:rFonts w:ascii="Arial" w:hAnsi="Arial" w:cs="Arial"/>
          <w:i/>
          <w:color w:val="000000"/>
        </w:rPr>
        <w:t>jednostki, które zrezygnowały z rozliczania kosztów w cza</w:t>
      </w:r>
      <w:r>
        <w:rPr>
          <w:rFonts w:ascii="Arial" w:hAnsi="Arial" w:cs="Arial"/>
          <w:i/>
          <w:color w:val="000000"/>
        </w:rPr>
        <w:t>sie, nie wypełniają tego punktu; w tej części sprawozdania nie wykazuje się biernych rozliczeń międzyokresowych kosztów mających charakter rezerw, w</w:t>
      </w:r>
      <w:r w:rsidRPr="006807B9">
        <w:rPr>
          <w:rFonts w:ascii="Arial" w:hAnsi="Arial" w:cs="Arial"/>
          <w:i/>
          <w:color w:val="000000"/>
        </w:rPr>
        <w:t xml:space="preserve"> informacji dodatkowej wchodzącej w skład sprawozdania finansowego JST, w punkcie</w:t>
      </w:r>
      <w:r>
        <w:rPr>
          <w:rFonts w:ascii="Arial" w:hAnsi="Arial" w:cs="Arial"/>
          <w:i/>
          <w:color w:val="000000"/>
        </w:rPr>
        <w:t xml:space="preserve"> </w:t>
      </w:r>
      <w:r w:rsidRPr="006807B9">
        <w:rPr>
          <w:rFonts w:ascii="Arial" w:hAnsi="Arial" w:cs="Arial"/>
          <w:i/>
          <w:color w:val="000000"/>
        </w:rPr>
        <w:t>tym należy ująć saldo konta 909</w:t>
      </w:r>
      <w:r>
        <w:rPr>
          <w:rFonts w:ascii="Arial" w:hAnsi="Arial" w:cs="Arial"/>
          <w:i/>
          <w:color w:val="000000"/>
        </w:rPr>
        <w:t>;</w:t>
      </w:r>
    </w:p>
    <w:p w14:paraId="2398A4CE" w14:textId="77777777" w:rsidR="00B3039A" w:rsidRPr="00783762" w:rsidRDefault="00B3039A" w:rsidP="00CA3565">
      <w:pPr>
        <w:pStyle w:val="Akapitzlist"/>
        <w:numPr>
          <w:ilvl w:val="0"/>
          <w:numId w:val="18"/>
        </w:numPr>
        <w:spacing w:after="0"/>
        <w:ind w:left="1134" w:hanging="567"/>
        <w:rPr>
          <w:rFonts w:ascii="Arial" w:hAnsi="Arial" w:cs="Arial"/>
          <w:color w:val="000000"/>
        </w:rPr>
      </w:pPr>
      <w:r w:rsidRPr="00D15D69">
        <w:rPr>
          <w:rFonts w:ascii="Arial" w:hAnsi="Arial" w:cs="Arial"/>
          <w:color w:val="000000"/>
        </w:rPr>
        <w:t>łączną kwotę otrzymanych przez jednostkę gwarancji i poręczeń niewykazanych w bilansie</w:t>
      </w:r>
      <w:r>
        <w:rPr>
          <w:rFonts w:ascii="Arial" w:hAnsi="Arial" w:cs="Arial"/>
          <w:color w:val="000000"/>
        </w:rPr>
        <w:t xml:space="preserve"> - </w:t>
      </w:r>
      <w:r>
        <w:rPr>
          <w:rFonts w:ascii="Arial" w:hAnsi="Arial" w:cs="Arial"/>
          <w:i/>
          <w:color w:val="000000"/>
        </w:rPr>
        <w:t xml:space="preserve">np.: zabezpieczenie należytego wykonania umowy; </w:t>
      </w:r>
    </w:p>
    <w:p w14:paraId="31F73D77" w14:textId="77777777" w:rsidR="00B3039A" w:rsidRPr="00135837" w:rsidRDefault="00B3039A" w:rsidP="00CA3565">
      <w:pPr>
        <w:pStyle w:val="Akapitzlist"/>
        <w:numPr>
          <w:ilvl w:val="0"/>
          <w:numId w:val="18"/>
        </w:numPr>
        <w:spacing w:after="0"/>
        <w:ind w:left="1134" w:hanging="567"/>
        <w:rPr>
          <w:rFonts w:ascii="Arial" w:hAnsi="Arial" w:cs="Arial"/>
          <w:color w:val="000000"/>
        </w:rPr>
      </w:pPr>
      <w:r w:rsidRPr="00D15D69">
        <w:rPr>
          <w:rFonts w:ascii="Arial" w:hAnsi="Arial" w:cs="Arial"/>
          <w:color w:val="000000"/>
        </w:rPr>
        <w:t>kwotę wypłaconych środków pieniężnych na świadczenia pracownicze</w:t>
      </w:r>
      <w:r>
        <w:rPr>
          <w:rFonts w:ascii="Arial" w:hAnsi="Arial" w:cs="Arial"/>
          <w:color w:val="000000"/>
        </w:rPr>
        <w:t xml:space="preserve"> - </w:t>
      </w:r>
      <w:r>
        <w:rPr>
          <w:rFonts w:ascii="Arial" w:hAnsi="Arial" w:cs="Arial"/>
          <w:color w:val="000000"/>
        </w:rPr>
        <w:br/>
        <w:t xml:space="preserve">w </w:t>
      </w:r>
      <w:r>
        <w:rPr>
          <w:rFonts w:ascii="Arial" w:hAnsi="Arial" w:cs="Arial"/>
          <w:i/>
          <w:color w:val="000000"/>
        </w:rPr>
        <w:t xml:space="preserve">kwotach brutto: </w:t>
      </w:r>
    </w:p>
    <w:p w14:paraId="74FDD4C5" w14:textId="77777777" w:rsidR="00B3039A" w:rsidRDefault="00B3039A" w:rsidP="00CA3565">
      <w:pPr>
        <w:pStyle w:val="Akapitzlist"/>
        <w:numPr>
          <w:ilvl w:val="0"/>
          <w:numId w:val="20"/>
        </w:numPr>
        <w:spacing w:after="0"/>
        <w:ind w:left="1644" w:hanging="397"/>
        <w:rPr>
          <w:rFonts w:ascii="Arial" w:hAnsi="Arial" w:cs="Arial"/>
          <w:i/>
          <w:color w:val="000000"/>
        </w:rPr>
      </w:pPr>
      <w:r w:rsidRPr="005E382B">
        <w:rPr>
          <w:rFonts w:ascii="Arial" w:hAnsi="Arial" w:cs="Arial"/>
          <w:i/>
          <w:color w:val="000000"/>
        </w:rPr>
        <w:t>odprawy emerytalne i rentowe,</w:t>
      </w:r>
    </w:p>
    <w:p w14:paraId="48D881E7" w14:textId="77777777" w:rsidR="00B3039A" w:rsidRDefault="00B3039A" w:rsidP="00CA3565">
      <w:pPr>
        <w:pStyle w:val="Akapitzlist"/>
        <w:numPr>
          <w:ilvl w:val="0"/>
          <w:numId w:val="20"/>
        </w:numPr>
        <w:spacing w:after="0"/>
        <w:ind w:left="1644" w:hanging="397"/>
        <w:rPr>
          <w:rFonts w:ascii="Arial" w:hAnsi="Arial" w:cs="Arial"/>
          <w:i/>
          <w:color w:val="000000"/>
        </w:rPr>
      </w:pPr>
      <w:r w:rsidRPr="0046552F">
        <w:rPr>
          <w:rFonts w:ascii="Arial" w:hAnsi="Arial" w:cs="Arial"/>
          <w:i/>
          <w:color w:val="000000"/>
        </w:rPr>
        <w:t xml:space="preserve">nagrody jubileuszowe, </w:t>
      </w:r>
    </w:p>
    <w:p w14:paraId="34FC49F8" w14:textId="77777777" w:rsidR="00B3039A" w:rsidRDefault="00B3039A" w:rsidP="00CA3565">
      <w:pPr>
        <w:pStyle w:val="Akapitzlist"/>
        <w:numPr>
          <w:ilvl w:val="0"/>
          <w:numId w:val="20"/>
        </w:numPr>
        <w:spacing w:after="0"/>
        <w:ind w:left="1644" w:hanging="397"/>
        <w:rPr>
          <w:rFonts w:ascii="Arial" w:hAnsi="Arial" w:cs="Arial"/>
          <w:i/>
          <w:color w:val="000000"/>
        </w:rPr>
      </w:pPr>
      <w:r w:rsidRPr="0046552F">
        <w:rPr>
          <w:rFonts w:ascii="Arial" w:hAnsi="Arial" w:cs="Arial"/>
          <w:i/>
          <w:color w:val="000000"/>
        </w:rPr>
        <w:t xml:space="preserve">ekwiwalent za urlop, </w:t>
      </w:r>
    </w:p>
    <w:p w14:paraId="4DAE7AC5" w14:textId="77777777" w:rsidR="00B3039A" w:rsidRDefault="00B3039A" w:rsidP="00CA3565">
      <w:pPr>
        <w:pStyle w:val="Akapitzlist"/>
        <w:numPr>
          <w:ilvl w:val="0"/>
          <w:numId w:val="20"/>
        </w:numPr>
        <w:spacing w:after="0"/>
        <w:ind w:left="1644" w:hanging="397"/>
        <w:rPr>
          <w:rFonts w:ascii="Arial" w:hAnsi="Arial" w:cs="Arial"/>
          <w:i/>
          <w:color w:val="000000"/>
        </w:rPr>
      </w:pPr>
      <w:r w:rsidRPr="0046552F">
        <w:rPr>
          <w:rFonts w:ascii="Arial" w:hAnsi="Arial" w:cs="Arial"/>
          <w:i/>
          <w:color w:val="000000"/>
        </w:rPr>
        <w:t>odpis na zakładowy fundusz świadczeń socjalnych,</w:t>
      </w:r>
    </w:p>
    <w:p w14:paraId="39A8C2F0" w14:textId="77777777" w:rsidR="00B3039A" w:rsidRDefault="00B3039A" w:rsidP="00CA3565">
      <w:pPr>
        <w:pStyle w:val="Akapitzlist"/>
        <w:numPr>
          <w:ilvl w:val="0"/>
          <w:numId w:val="20"/>
        </w:numPr>
        <w:spacing w:after="0"/>
        <w:ind w:left="1644" w:hanging="397"/>
        <w:rPr>
          <w:rFonts w:ascii="Arial" w:hAnsi="Arial" w:cs="Arial"/>
          <w:i/>
          <w:color w:val="000000"/>
        </w:rPr>
      </w:pPr>
      <w:r w:rsidRPr="0046552F">
        <w:rPr>
          <w:rFonts w:ascii="Arial" w:hAnsi="Arial" w:cs="Arial"/>
          <w:i/>
          <w:color w:val="000000"/>
        </w:rPr>
        <w:t xml:space="preserve">obowiązkowe badania profilaktyczne, </w:t>
      </w:r>
    </w:p>
    <w:p w14:paraId="1A4B5632" w14:textId="77777777" w:rsidR="00B3039A" w:rsidRDefault="00B3039A" w:rsidP="00CA3565">
      <w:pPr>
        <w:pStyle w:val="Akapitzlist"/>
        <w:numPr>
          <w:ilvl w:val="0"/>
          <w:numId w:val="20"/>
        </w:numPr>
        <w:spacing w:after="0"/>
        <w:ind w:left="1644" w:hanging="397"/>
        <w:rPr>
          <w:rFonts w:ascii="Arial" w:hAnsi="Arial" w:cs="Arial"/>
          <w:i/>
          <w:color w:val="000000"/>
        </w:rPr>
      </w:pPr>
      <w:r w:rsidRPr="0046552F">
        <w:rPr>
          <w:rFonts w:ascii="Arial" w:hAnsi="Arial" w:cs="Arial"/>
          <w:i/>
          <w:color w:val="000000"/>
        </w:rPr>
        <w:t>sfinalizowanie okularów korekcyjnych,</w:t>
      </w:r>
    </w:p>
    <w:p w14:paraId="573669F2" w14:textId="77777777" w:rsidR="00B3039A" w:rsidRPr="0046552F" w:rsidRDefault="00B3039A" w:rsidP="00CA3565">
      <w:pPr>
        <w:pStyle w:val="Akapitzlist"/>
        <w:numPr>
          <w:ilvl w:val="0"/>
          <w:numId w:val="20"/>
        </w:numPr>
        <w:spacing w:after="0"/>
        <w:ind w:left="1644" w:hanging="397"/>
        <w:rPr>
          <w:rFonts w:ascii="Arial" w:hAnsi="Arial" w:cs="Arial"/>
          <w:i/>
          <w:color w:val="000000"/>
        </w:rPr>
      </w:pPr>
      <w:r w:rsidRPr="0046552F">
        <w:rPr>
          <w:rFonts w:ascii="Arial" w:hAnsi="Arial" w:cs="Arial"/>
          <w:i/>
          <w:color w:val="000000"/>
        </w:rPr>
        <w:t>i inne świadczenia pracownicze (np.: napoje i posiłki regeneracyjne);</w:t>
      </w:r>
    </w:p>
    <w:p w14:paraId="5D8B4214" w14:textId="77777777" w:rsidR="00B3039A" w:rsidRPr="00475418" w:rsidRDefault="00B3039A" w:rsidP="00CA3565">
      <w:pPr>
        <w:pStyle w:val="Akapitzlist"/>
        <w:numPr>
          <w:ilvl w:val="0"/>
          <w:numId w:val="18"/>
        </w:numPr>
        <w:spacing w:after="0"/>
        <w:ind w:left="1134" w:hanging="567"/>
        <w:rPr>
          <w:rFonts w:ascii="Arial" w:hAnsi="Arial" w:cs="Arial"/>
          <w:color w:val="000000"/>
        </w:rPr>
      </w:pPr>
      <w:r w:rsidRPr="00D15D69">
        <w:rPr>
          <w:rFonts w:ascii="Arial" w:hAnsi="Arial" w:cs="Arial"/>
          <w:color w:val="000000"/>
        </w:rPr>
        <w:t>inne informacje</w:t>
      </w:r>
      <w:r>
        <w:rPr>
          <w:rFonts w:ascii="Arial" w:hAnsi="Arial" w:cs="Arial"/>
          <w:color w:val="000000"/>
        </w:rPr>
        <w:t xml:space="preserve"> (w</w:t>
      </w:r>
      <w:r w:rsidRPr="00475418">
        <w:rPr>
          <w:rFonts w:ascii="Arial" w:hAnsi="Arial" w:cs="Arial"/>
        </w:rPr>
        <w:t xml:space="preserve"> powyższym punkcie należy przedstawić inne, istotne zdaniem jednostki informacje</w:t>
      </w:r>
      <w:r>
        <w:rPr>
          <w:rFonts w:ascii="Arial" w:hAnsi="Arial" w:cs="Arial"/>
        </w:rPr>
        <w:t>);</w:t>
      </w:r>
      <w:r w:rsidRPr="00475418">
        <w:rPr>
          <w:rFonts w:ascii="Arial" w:hAnsi="Arial" w:cs="Arial"/>
        </w:rPr>
        <w:t xml:space="preserve"> </w:t>
      </w:r>
    </w:p>
    <w:p w14:paraId="4272D8F3" w14:textId="77777777" w:rsidR="00B3039A" w:rsidRPr="00CC1A36" w:rsidRDefault="00B3039A" w:rsidP="00CA3565">
      <w:pPr>
        <w:pStyle w:val="Akapitzlist"/>
        <w:numPr>
          <w:ilvl w:val="0"/>
          <w:numId w:val="18"/>
        </w:numPr>
        <w:spacing w:after="0"/>
        <w:ind w:left="1134" w:hanging="567"/>
        <w:rPr>
          <w:rFonts w:ascii="Arial" w:hAnsi="Arial" w:cs="Arial"/>
          <w:i/>
          <w:color w:val="000000"/>
        </w:rPr>
      </w:pPr>
      <w:r w:rsidRPr="00D15D69">
        <w:rPr>
          <w:rFonts w:ascii="Arial" w:hAnsi="Arial" w:cs="Arial"/>
          <w:color w:val="000000"/>
        </w:rPr>
        <w:t>wysokość odpisów aktualizujących wartość zapasów</w:t>
      </w:r>
      <w:r>
        <w:rPr>
          <w:rFonts w:ascii="Arial" w:hAnsi="Arial" w:cs="Arial"/>
          <w:color w:val="000000"/>
        </w:rPr>
        <w:t xml:space="preserve"> - </w:t>
      </w:r>
      <w:r w:rsidRPr="00CC1A36">
        <w:rPr>
          <w:rFonts w:ascii="Arial" w:hAnsi="Arial" w:cs="Arial"/>
          <w:i/>
          <w:color w:val="000000"/>
        </w:rPr>
        <w:t>punkt uzupełniają wyłącznie jednostki, które prowadzą gospodarkę materiałową</w:t>
      </w:r>
      <w:r>
        <w:rPr>
          <w:rFonts w:ascii="Arial" w:hAnsi="Arial" w:cs="Arial"/>
          <w:i/>
          <w:color w:val="000000"/>
        </w:rPr>
        <w:t>;</w:t>
      </w:r>
    </w:p>
    <w:p w14:paraId="4AF9BA65" w14:textId="6611C510" w:rsidR="00B3039A" w:rsidRPr="00D15D69" w:rsidRDefault="00B3039A" w:rsidP="00CA3565">
      <w:pPr>
        <w:pStyle w:val="Akapitzlist"/>
        <w:numPr>
          <w:ilvl w:val="0"/>
          <w:numId w:val="18"/>
        </w:numPr>
        <w:spacing w:after="0"/>
        <w:ind w:left="1134" w:hanging="567"/>
        <w:rPr>
          <w:rFonts w:ascii="Arial" w:hAnsi="Arial" w:cs="Arial"/>
          <w:color w:val="000000"/>
        </w:rPr>
      </w:pPr>
      <w:r w:rsidRPr="00D15D69">
        <w:rPr>
          <w:rFonts w:ascii="Arial" w:hAnsi="Arial" w:cs="Arial"/>
          <w:color w:val="000000"/>
        </w:rPr>
        <w:t xml:space="preserve">koszt wytworzenia środków trwałych w budowie, w tym odsetki oraz różnice kursowe, które powiększyły koszt wytworzenia środków trwałych w budowie </w:t>
      </w:r>
      <w:r>
        <w:rPr>
          <w:rFonts w:ascii="Arial" w:hAnsi="Arial" w:cs="Arial"/>
          <w:color w:val="000000"/>
        </w:rPr>
        <w:br/>
      </w:r>
      <w:r w:rsidRPr="00D15D69">
        <w:rPr>
          <w:rFonts w:ascii="Arial" w:hAnsi="Arial" w:cs="Arial"/>
          <w:color w:val="000000"/>
        </w:rPr>
        <w:t>w roku obrotowym</w:t>
      </w:r>
      <w:r>
        <w:rPr>
          <w:rFonts w:ascii="Arial" w:hAnsi="Arial" w:cs="Arial"/>
          <w:color w:val="000000"/>
        </w:rPr>
        <w:t xml:space="preserve"> - </w:t>
      </w:r>
      <w:r>
        <w:rPr>
          <w:rFonts w:ascii="Arial" w:hAnsi="Arial" w:cs="Arial"/>
          <w:i/>
          <w:color w:val="000000"/>
        </w:rPr>
        <w:t>konto 080;</w:t>
      </w:r>
    </w:p>
    <w:p w14:paraId="69707F8B" w14:textId="52C1DB37" w:rsidR="00B3039A" w:rsidRPr="00755BB7" w:rsidRDefault="00B3039A" w:rsidP="00CA3565">
      <w:pPr>
        <w:pStyle w:val="Akapitzlist"/>
        <w:numPr>
          <w:ilvl w:val="0"/>
          <w:numId w:val="18"/>
        </w:numPr>
        <w:spacing w:after="0"/>
        <w:ind w:left="1134" w:hanging="567"/>
        <w:rPr>
          <w:rFonts w:ascii="Arial" w:hAnsi="Arial" w:cs="Arial"/>
          <w:i/>
          <w:color w:val="000000"/>
        </w:rPr>
      </w:pPr>
      <w:r w:rsidRPr="00D15D69">
        <w:rPr>
          <w:rFonts w:ascii="Arial" w:hAnsi="Arial" w:cs="Arial"/>
          <w:color w:val="000000"/>
        </w:rPr>
        <w:t xml:space="preserve">kwotę i charakter poszczególnych pozycji przychodów lub kosztów </w:t>
      </w:r>
      <w:r>
        <w:rPr>
          <w:rFonts w:ascii="Arial" w:hAnsi="Arial" w:cs="Arial"/>
          <w:color w:val="000000"/>
        </w:rPr>
        <w:br/>
      </w:r>
      <w:r w:rsidRPr="00D15D69">
        <w:rPr>
          <w:rFonts w:ascii="Arial" w:hAnsi="Arial" w:cs="Arial"/>
          <w:color w:val="000000"/>
        </w:rPr>
        <w:t>o nadzwyczajnej wartości lub które wystąpiły incydentalnie</w:t>
      </w:r>
      <w:r>
        <w:rPr>
          <w:rFonts w:ascii="Arial" w:hAnsi="Arial" w:cs="Arial"/>
          <w:color w:val="000000"/>
        </w:rPr>
        <w:t xml:space="preserve"> – </w:t>
      </w:r>
      <w:r w:rsidRPr="00755BB7">
        <w:rPr>
          <w:rFonts w:ascii="Arial" w:hAnsi="Arial" w:cs="Arial"/>
          <w:i/>
          <w:color w:val="000000"/>
        </w:rPr>
        <w:t>czyli sporadycznie, niepowtarzalnie</w:t>
      </w:r>
      <w:r>
        <w:rPr>
          <w:rFonts w:ascii="Arial" w:hAnsi="Arial" w:cs="Arial"/>
          <w:i/>
          <w:color w:val="000000"/>
        </w:rPr>
        <w:t xml:space="preserve"> np.</w:t>
      </w:r>
      <w:r w:rsidRPr="00755BB7">
        <w:rPr>
          <w:rFonts w:ascii="Arial" w:hAnsi="Arial" w:cs="Arial"/>
          <w:i/>
          <w:color w:val="000000"/>
        </w:rPr>
        <w:t xml:space="preserve">: </w:t>
      </w:r>
      <w:r>
        <w:rPr>
          <w:rFonts w:ascii="Arial" w:hAnsi="Arial" w:cs="Arial"/>
          <w:i/>
          <w:color w:val="000000"/>
        </w:rPr>
        <w:t>zdarzenia losowe jak i inne nietypowe zdarzenia;</w:t>
      </w:r>
    </w:p>
    <w:p w14:paraId="1BD9E2F2" w14:textId="77777777" w:rsidR="00B3039A" w:rsidRPr="0001301E" w:rsidRDefault="00B3039A" w:rsidP="00CA3565">
      <w:pPr>
        <w:pStyle w:val="Akapitzlist"/>
        <w:numPr>
          <w:ilvl w:val="0"/>
          <w:numId w:val="18"/>
        </w:numPr>
        <w:spacing w:after="0"/>
        <w:ind w:left="1134" w:hanging="567"/>
        <w:rPr>
          <w:rFonts w:ascii="Arial" w:hAnsi="Arial" w:cs="Arial"/>
          <w:i/>
          <w:color w:val="000000"/>
        </w:rPr>
      </w:pPr>
      <w:r w:rsidRPr="00D15D69">
        <w:rPr>
          <w:rFonts w:ascii="Arial" w:hAnsi="Arial" w:cs="Arial"/>
          <w:color w:val="000000"/>
        </w:rPr>
        <w:t>informację o kwocie należności z tytułu podatków realizowanych przez organy podatkowe podległe ministrowi właściwemu do spraw finansów publicznych wykazywanych w sprawozdaniu z wykonania planu dochodów budżetowych</w:t>
      </w:r>
      <w:r>
        <w:rPr>
          <w:rFonts w:ascii="Arial" w:hAnsi="Arial" w:cs="Arial"/>
          <w:color w:val="000000"/>
        </w:rPr>
        <w:t xml:space="preserve"> – </w:t>
      </w:r>
      <w:r w:rsidRPr="0001301E">
        <w:rPr>
          <w:rFonts w:ascii="Arial" w:hAnsi="Arial" w:cs="Arial"/>
          <w:i/>
          <w:color w:val="000000"/>
        </w:rPr>
        <w:t xml:space="preserve">nie dotyczy </w:t>
      </w:r>
      <w:r>
        <w:rPr>
          <w:rFonts w:ascii="Arial" w:hAnsi="Arial" w:cs="Arial"/>
          <w:i/>
          <w:color w:val="000000"/>
        </w:rPr>
        <w:t>JST;</w:t>
      </w:r>
    </w:p>
    <w:p w14:paraId="10E42387" w14:textId="77777777" w:rsidR="00B3039A" w:rsidRPr="00D15D69" w:rsidRDefault="00B3039A" w:rsidP="00CA3565">
      <w:pPr>
        <w:pStyle w:val="Akapitzlist"/>
        <w:numPr>
          <w:ilvl w:val="0"/>
          <w:numId w:val="18"/>
        </w:numPr>
        <w:spacing w:after="0"/>
        <w:ind w:left="1134" w:hanging="567"/>
        <w:rPr>
          <w:rFonts w:ascii="Arial" w:hAnsi="Arial" w:cs="Arial"/>
          <w:color w:val="000000"/>
        </w:rPr>
      </w:pPr>
      <w:r w:rsidRPr="00D15D69">
        <w:rPr>
          <w:rFonts w:ascii="Arial" w:hAnsi="Arial" w:cs="Arial"/>
          <w:color w:val="000000"/>
        </w:rPr>
        <w:t>inne informacje</w:t>
      </w:r>
      <w:r>
        <w:rPr>
          <w:rFonts w:ascii="Arial" w:hAnsi="Arial" w:cs="Arial"/>
          <w:color w:val="000000"/>
        </w:rPr>
        <w:t xml:space="preserve"> (</w:t>
      </w:r>
      <w:r>
        <w:rPr>
          <w:rFonts w:ascii="Arial" w:hAnsi="Arial" w:cs="Arial"/>
          <w:i/>
          <w:color w:val="000000"/>
        </w:rPr>
        <w:t>w pozycji tej powinny znaleźć się wszelkie dodatkowe informacje niezbędne do spełnienia obowiązku rzetelnego i jasnego przedstawienia sytuacji majątkowej, finansowej i wyniku finansowego jednostki;</w:t>
      </w:r>
    </w:p>
    <w:p w14:paraId="1B339BB5" w14:textId="593EAE73" w:rsidR="00B3039A" w:rsidRPr="0046552F" w:rsidRDefault="00B3039A" w:rsidP="00CA3565">
      <w:pPr>
        <w:pStyle w:val="Akapitzlist"/>
        <w:numPr>
          <w:ilvl w:val="0"/>
          <w:numId w:val="18"/>
        </w:numPr>
        <w:spacing w:after="0"/>
        <w:ind w:left="1134" w:hanging="567"/>
        <w:rPr>
          <w:rFonts w:ascii="Arial Narrow" w:hAnsi="Arial Narrow" w:cs="Arial"/>
          <w:i/>
          <w:sz w:val="24"/>
          <w:szCs w:val="24"/>
        </w:rPr>
      </w:pPr>
      <w:r>
        <w:rPr>
          <w:rFonts w:ascii="Arial" w:hAnsi="Arial" w:cs="Arial"/>
          <w:color w:val="000000"/>
        </w:rPr>
        <w:t>i</w:t>
      </w:r>
      <w:r w:rsidRPr="009F0266">
        <w:rPr>
          <w:rFonts w:ascii="Arial" w:hAnsi="Arial" w:cs="Arial"/>
          <w:color w:val="000000"/>
        </w:rPr>
        <w:t>nne informacje niż wymienione powyżej, jeżeli mogłyby w istotny sposób wpłynąć na ocenę sytuacji majątkowej i finansowej oraz wynik finansowy jednostk</w:t>
      </w:r>
      <w:r>
        <w:rPr>
          <w:rFonts w:ascii="Arial" w:hAnsi="Arial" w:cs="Arial"/>
          <w:color w:val="000000"/>
        </w:rPr>
        <w:t xml:space="preserve">i </w:t>
      </w:r>
      <w:r w:rsidRPr="00755BB7">
        <w:rPr>
          <w:rFonts w:ascii="Arial" w:hAnsi="Arial" w:cs="Arial"/>
          <w:i/>
          <w:color w:val="000000"/>
        </w:rPr>
        <w:t>(</w:t>
      </w:r>
      <w:r>
        <w:rPr>
          <w:rFonts w:ascii="Arial" w:hAnsi="Arial" w:cs="Arial"/>
          <w:i/>
          <w:color w:val="000000"/>
        </w:rPr>
        <w:t>P</w:t>
      </w:r>
      <w:r w:rsidRPr="00755BB7">
        <w:rPr>
          <w:rFonts w:ascii="Arial" w:hAnsi="Arial" w:cs="Arial"/>
          <w:i/>
          <w:color w:val="000000"/>
        </w:rPr>
        <w:t xml:space="preserve">odać </w:t>
      </w:r>
      <w:r>
        <w:rPr>
          <w:rFonts w:ascii="Arial" w:hAnsi="Arial" w:cs="Arial"/>
          <w:i/>
          <w:color w:val="000000"/>
        </w:rPr>
        <w:t>wszystkie dane zapewniające sprawozdaniu finansowemu kompletność i zrozumiałość. W tej części ujmować można wszelkie dane dotychczas nieprzedstawione, m.in. informacje o skutkach błędów z poprzednich lat, skutkach zmiany polityki rachunkowości, zdarzeniach mających miejsce po dniu bilansowym itp.). ”</w:t>
      </w:r>
    </w:p>
    <w:p w14:paraId="25E921EF" w14:textId="77777777" w:rsidR="00B3039A" w:rsidRDefault="00B3039A" w:rsidP="00CA3565">
      <w:pPr>
        <w:spacing w:after="0"/>
        <w:rPr>
          <w:rFonts w:ascii="Arial Narrow" w:hAnsi="Arial Narrow" w:cs="Arial"/>
          <w:i/>
          <w:sz w:val="24"/>
          <w:szCs w:val="24"/>
        </w:rPr>
      </w:pPr>
    </w:p>
    <w:p w14:paraId="0F5604EA" w14:textId="77777777" w:rsidR="00B3039A" w:rsidRPr="00B3039A" w:rsidRDefault="00B3039A" w:rsidP="00CA3565">
      <w:pPr>
        <w:spacing w:after="0"/>
        <w:rPr>
          <w:rFonts w:ascii="Arial" w:hAnsi="Arial" w:cs="Arial"/>
        </w:rPr>
      </w:pPr>
    </w:p>
    <w:p w14:paraId="09E188E4" w14:textId="77777777" w:rsidR="00B63D6A" w:rsidRDefault="00B63D6A" w:rsidP="00CA3565">
      <w:pPr>
        <w:spacing w:after="0" w:line="240" w:lineRule="auto"/>
        <w:rPr>
          <w:rFonts w:ascii="Arial" w:eastAsia="Times New Roman" w:hAnsi="Arial" w:cs="Arial"/>
          <w:lang w:eastAsia="pl-PL"/>
        </w:rPr>
      </w:pPr>
    </w:p>
    <w:p w14:paraId="4F1CE97A" w14:textId="14833DAB" w:rsidR="00CE66F3" w:rsidRPr="00CE66F3" w:rsidRDefault="00CE66F3" w:rsidP="00CA3565">
      <w:pPr>
        <w:spacing w:after="0" w:line="240" w:lineRule="auto"/>
        <w:rPr>
          <w:rFonts w:ascii="Arial" w:eastAsia="Times New Roman" w:hAnsi="Arial" w:cs="Arial"/>
          <w:lang w:eastAsia="pl-PL"/>
        </w:rPr>
      </w:pPr>
      <w:r w:rsidRPr="00CE66F3">
        <w:rPr>
          <w:rFonts w:ascii="Arial" w:eastAsia="Times New Roman" w:hAnsi="Arial" w:cs="Arial"/>
          <w:lang w:eastAsia="pl-PL"/>
        </w:rPr>
        <w:t>§ 2</w:t>
      </w:r>
    </w:p>
    <w:p w14:paraId="2335BA93" w14:textId="77777777" w:rsidR="00C65637" w:rsidRPr="00C65637" w:rsidRDefault="00C65637" w:rsidP="00CA3565">
      <w:pPr>
        <w:spacing w:after="0" w:line="240" w:lineRule="auto"/>
        <w:rPr>
          <w:rFonts w:ascii="Arial" w:eastAsia="Times New Roman" w:hAnsi="Arial" w:cs="Arial"/>
          <w:sz w:val="20"/>
          <w:szCs w:val="20"/>
          <w:lang w:eastAsia="pl-PL"/>
        </w:rPr>
      </w:pPr>
    </w:p>
    <w:p w14:paraId="1405F915" w14:textId="21CB3517" w:rsidR="00475418" w:rsidRDefault="00475418" w:rsidP="00CA3565">
      <w:pPr>
        <w:spacing w:after="0" w:line="240" w:lineRule="auto"/>
        <w:rPr>
          <w:rFonts w:ascii="Arial" w:eastAsia="Times New Roman" w:hAnsi="Arial" w:cs="Arial"/>
          <w:lang w:eastAsia="pl-PL"/>
        </w:rPr>
      </w:pPr>
      <w:r>
        <w:rPr>
          <w:rFonts w:ascii="Arial" w:eastAsia="Times New Roman" w:hAnsi="Arial" w:cs="Arial"/>
          <w:lang w:eastAsia="pl-PL"/>
        </w:rPr>
        <w:tab/>
      </w:r>
    </w:p>
    <w:p w14:paraId="44315DD7" w14:textId="77777777" w:rsidR="007B3D95" w:rsidRPr="007B3D95" w:rsidRDefault="007B3D95" w:rsidP="00CA3565">
      <w:pPr>
        <w:spacing w:after="0" w:line="240" w:lineRule="auto"/>
        <w:rPr>
          <w:rFonts w:ascii="Arial" w:eastAsia="Times New Roman" w:hAnsi="Arial" w:cs="Arial"/>
          <w:lang w:eastAsia="pl-PL"/>
        </w:rPr>
      </w:pPr>
      <w:r w:rsidRPr="007B3D95">
        <w:rPr>
          <w:rFonts w:ascii="Arial" w:eastAsia="Times New Roman" w:hAnsi="Arial" w:cs="Arial"/>
          <w:lang w:eastAsia="pl-PL"/>
        </w:rPr>
        <w:t>Zarządzenie wchodzi w życie z dniem podpisania.</w:t>
      </w:r>
    </w:p>
    <w:p w14:paraId="34E9D853" w14:textId="77777777" w:rsidR="00CE66F3" w:rsidRDefault="00CE66F3" w:rsidP="00CA3565">
      <w:pPr>
        <w:spacing w:line="240" w:lineRule="auto"/>
        <w:rPr>
          <w:rFonts w:ascii="Arial" w:hAnsi="Arial" w:cs="Arial"/>
        </w:rPr>
      </w:pPr>
    </w:p>
    <w:p w14:paraId="0A1CAC1E" w14:textId="77777777" w:rsidR="00CE66F3" w:rsidRDefault="00CE66F3" w:rsidP="00CA3565">
      <w:pPr>
        <w:spacing w:line="240" w:lineRule="auto"/>
        <w:rPr>
          <w:rFonts w:ascii="Arial" w:hAnsi="Arial" w:cs="Arial"/>
        </w:rPr>
      </w:pPr>
    </w:p>
    <w:p w14:paraId="0903A4B6" w14:textId="5AE13E0D" w:rsidR="00CE66F3" w:rsidRDefault="00CA3565" w:rsidP="00CA3565">
      <w:pPr>
        <w:spacing w:line="240" w:lineRule="auto"/>
        <w:rPr>
          <w:rFonts w:ascii="Arial" w:hAnsi="Arial" w:cs="Arial"/>
        </w:rPr>
      </w:pPr>
      <w:r>
        <w:rPr>
          <w:rFonts w:ascii="Arial" w:hAnsi="Arial" w:cs="Arial"/>
        </w:rPr>
        <w:t>BURMISTRZ NYSY</w:t>
      </w:r>
    </w:p>
    <w:p w14:paraId="0E1652CA" w14:textId="424AD86F" w:rsidR="00CA3565" w:rsidRDefault="00CA3565" w:rsidP="00CA3565">
      <w:pPr>
        <w:spacing w:line="240" w:lineRule="auto"/>
        <w:rPr>
          <w:rFonts w:ascii="Arial" w:hAnsi="Arial" w:cs="Arial"/>
        </w:rPr>
      </w:pPr>
      <w:r>
        <w:rPr>
          <w:rFonts w:ascii="Arial" w:hAnsi="Arial" w:cs="Arial"/>
        </w:rPr>
        <w:t>Kordian Kolbiarz</w:t>
      </w:r>
    </w:p>
    <w:p w14:paraId="6BD29B3A" w14:textId="77777777" w:rsidR="00CE66F3" w:rsidRDefault="00CE66F3" w:rsidP="00CA3565">
      <w:pPr>
        <w:spacing w:line="240" w:lineRule="auto"/>
        <w:rPr>
          <w:rFonts w:ascii="Arial" w:hAnsi="Arial" w:cs="Arial"/>
        </w:rPr>
      </w:pPr>
    </w:p>
    <w:p w14:paraId="0999FA5B" w14:textId="77777777" w:rsidR="00CE66F3" w:rsidRDefault="00CE66F3" w:rsidP="00CA3565">
      <w:pPr>
        <w:spacing w:line="240" w:lineRule="auto"/>
        <w:rPr>
          <w:rFonts w:ascii="Arial" w:hAnsi="Arial" w:cs="Arial"/>
        </w:rPr>
      </w:pPr>
    </w:p>
    <w:p w14:paraId="73263951" w14:textId="77777777" w:rsidR="00CE66F3" w:rsidRDefault="00CE66F3" w:rsidP="00CA3565">
      <w:pPr>
        <w:spacing w:line="240" w:lineRule="auto"/>
        <w:rPr>
          <w:rFonts w:ascii="Arial" w:hAnsi="Arial" w:cs="Arial"/>
        </w:rPr>
      </w:pPr>
    </w:p>
    <w:p w14:paraId="1C71C47A" w14:textId="77777777" w:rsidR="00D15D69" w:rsidRDefault="00D15D69" w:rsidP="00CA3565">
      <w:pPr>
        <w:spacing w:line="240" w:lineRule="auto"/>
        <w:rPr>
          <w:rFonts w:ascii="Arial" w:hAnsi="Arial" w:cs="Arial"/>
        </w:rPr>
      </w:pPr>
    </w:p>
    <w:p w14:paraId="538B2D19" w14:textId="77777777" w:rsidR="00D15D69" w:rsidRDefault="00D15D69" w:rsidP="00CA3565">
      <w:pPr>
        <w:spacing w:line="240" w:lineRule="auto"/>
        <w:rPr>
          <w:rFonts w:ascii="Arial" w:hAnsi="Arial" w:cs="Arial"/>
        </w:rPr>
      </w:pPr>
    </w:p>
    <w:sectPr w:rsidR="00D15D69" w:rsidSect="00DE250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F9C6" w14:textId="77777777" w:rsidR="00011A90" w:rsidRDefault="00011A90" w:rsidP="000762B8">
      <w:pPr>
        <w:spacing w:after="0" w:line="240" w:lineRule="auto"/>
      </w:pPr>
      <w:r>
        <w:separator/>
      </w:r>
    </w:p>
  </w:endnote>
  <w:endnote w:type="continuationSeparator" w:id="0">
    <w:p w14:paraId="21B66980" w14:textId="77777777" w:rsidR="00011A90" w:rsidRDefault="00011A90" w:rsidP="0007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74602"/>
      <w:docPartObj>
        <w:docPartGallery w:val="Page Numbers (Bottom of Page)"/>
        <w:docPartUnique/>
      </w:docPartObj>
    </w:sdtPr>
    <w:sdtContent>
      <w:p w14:paraId="418A145F" w14:textId="77777777" w:rsidR="004140BE" w:rsidRDefault="004140BE">
        <w:pPr>
          <w:pStyle w:val="Stopka"/>
          <w:jc w:val="center"/>
        </w:pPr>
        <w:r>
          <w:fldChar w:fldCharType="begin"/>
        </w:r>
        <w:r>
          <w:instrText>PAGE   \* MERGEFORMAT</w:instrText>
        </w:r>
        <w:r>
          <w:fldChar w:fldCharType="separate"/>
        </w:r>
        <w:r w:rsidR="00DD2B59">
          <w:rPr>
            <w:noProof/>
          </w:rPr>
          <w:t>15</w:t>
        </w:r>
        <w:r>
          <w:fldChar w:fldCharType="end"/>
        </w:r>
      </w:p>
    </w:sdtContent>
  </w:sdt>
  <w:p w14:paraId="693C55C7" w14:textId="77777777" w:rsidR="004140BE" w:rsidRDefault="004140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EF7F" w14:textId="77777777" w:rsidR="00011A90" w:rsidRDefault="00011A90" w:rsidP="000762B8">
      <w:pPr>
        <w:spacing w:after="0" w:line="240" w:lineRule="auto"/>
      </w:pPr>
      <w:r>
        <w:separator/>
      </w:r>
    </w:p>
  </w:footnote>
  <w:footnote w:type="continuationSeparator" w:id="0">
    <w:p w14:paraId="4F547EEA" w14:textId="77777777" w:rsidR="00011A90" w:rsidRDefault="00011A90" w:rsidP="00076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89B"/>
    <w:multiLevelType w:val="hybridMultilevel"/>
    <w:tmpl w:val="DFF43882"/>
    <w:lvl w:ilvl="0" w:tplc="0415000F">
      <w:start w:val="1"/>
      <w:numFmt w:val="decimal"/>
      <w:lvlText w:val="%1."/>
      <w:lvlJc w:val="left"/>
      <w:pPr>
        <w:tabs>
          <w:tab w:val="num" w:pos="720"/>
        </w:tabs>
        <w:ind w:left="720" w:hanging="360"/>
      </w:pPr>
    </w:lvl>
    <w:lvl w:ilvl="1" w:tplc="D63A12B4">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11554"/>
    <w:multiLevelType w:val="hybridMultilevel"/>
    <w:tmpl w:val="D456665A"/>
    <w:lvl w:ilvl="0" w:tplc="99DC3B94">
      <w:start w:val="1"/>
      <w:numFmt w:val="lowerLetter"/>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56552"/>
    <w:multiLevelType w:val="hybridMultilevel"/>
    <w:tmpl w:val="9E2A2B9A"/>
    <w:lvl w:ilvl="0" w:tplc="2FFE9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32729"/>
    <w:multiLevelType w:val="hybridMultilevel"/>
    <w:tmpl w:val="0EECD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2AB2CE2"/>
    <w:multiLevelType w:val="hybridMultilevel"/>
    <w:tmpl w:val="2BF49CE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2F6D1F60"/>
    <w:multiLevelType w:val="hybridMultilevel"/>
    <w:tmpl w:val="084EF1BE"/>
    <w:lvl w:ilvl="0" w:tplc="A6BC0BD2">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1427867"/>
    <w:multiLevelType w:val="hybridMultilevel"/>
    <w:tmpl w:val="AC56F3B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 w15:restartNumberingAfterBreak="0">
    <w:nsid w:val="3DD30987"/>
    <w:multiLevelType w:val="hybridMultilevel"/>
    <w:tmpl w:val="76B20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F47931"/>
    <w:multiLevelType w:val="hybridMultilevel"/>
    <w:tmpl w:val="B3009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016"/>
    <w:multiLevelType w:val="hybridMultilevel"/>
    <w:tmpl w:val="F0AC94F8"/>
    <w:lvl w:ilvl="0" w:tplc="B34C0F6C">
      <w:start w:val="1"/>
      <w:numFmt w:val="lowerLetter"/>
      <w:lvlText w:val="%1)"/>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0" w15:restartNumberingAfterBreak="0">
    <w:nsid w:val="52AB442B"/>
    <w:multiLevelType w:val="hybridMultilevel"/>
    <w:tmpl w:val="C178A8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BF31DD"/>
    <w:multiLevelType w:val="hybridMultilevel"/>
    <w:tmpl w:val="67A810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5CE33492"/>
    <w:multiLevelType w:val="hybridMultilevel"/>
    <w:tmpl w:val="A3FCAE7E"/>
    <w:lvl w:ilvl="0" w:tplc="2DB4D916">
      <w:start w:val="1"/>
      <w:numFmt w:val="decimal"/>
      <w:lvlText w:val="%1."/>
      <w:lvlJc w:val="left"/>
      <w:pPr>
        <w:ind w:left="1647" w:hanging="360"/>
      </w:pPr>
      <w:rPr>
        <w:rFonts w:hint="default"/>
        <w:color w:val="00000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 w15:restartNumberingAfterBreak="0">
    <w:nsid w:val="62981BFA"/>
    <w:multiLevelType w:val="hybridMultilevel"/>
    <w:tmpl w:val="55C26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863C08"/>
    <w:multiLevelType w:val="hybridMultilevel"/>
    <w:tmpl w:val="5AC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660B38"/>
    <w:multiLevelType w:val="hybridMultilevel"/>
    <w:tmpl w:val="11DC91C6"/>
    <w:lvl w:ilvl="0" w:tplc="04150017">
      <w:start w:val="1"/>
      <w:numFmt w:val="lowerLetter"/>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6" w15:restartNumberingAfterBreak="0">
    <w:nsid w:val="70151CC2"/>
    <w:multiLevelType w:val="hybridMultilevel"/>
    <w:tmpl w:val="DBD04BFC"/>
    <w:lvl w:ilvl="0" w:tplc="8528F420">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7" w15:restartNumberingAfterBreak="0">
    <w:nsid w:val="728472AC"/>
    <w:multiLevelType w:val="hybridMultilevel"/>
    <w:tmpl w:val="1FFA0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2E0BA3"/>
    <w:multiLevelType w:val="hybridMultilevel"/>
    <w:tmpl w:val="600E4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445B33"/>
    <w:multiLevelType w:val="hybridMultilevel"/>
    <w:tmpl w:val="FBFA67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24789603">
    <w:abstractNumId w:val="8"/>
  </w:num>
  <w:num w:numId="2" w16cid:durableId="260259521">
    <w:abstractNumId w:val="13"/>
  </w:num>
  <w:num w:numId="3" w16cid:durableId="1738162555">
    <w:abstractNumId w:val="17"/>
  </w:num>
  <w:num w:numId="4" w16cid:durableId="2125224906">
    <w:abstractNumId w:val="2"/>
  </w:num>
  <w:num w:numId="5" w16cid:durableId="1413892040">
    <w:abstractNumId w:val="19"/>
  </w:num>
  <w:num w:numId="6" w16cid:durableId="750005021">
    <w:abstractNumId w:val="0"/>
  </w:num>
  <w:num w:numId="7" w16cid:durableId="740518984">
    <w:abstractNumId w:val="14"/>
  </w:num>
  <w:num w:numId="8" w16cid:durableId="1196381478">
    <w:abstractNumId w:val="3"/>
  </w:num>
  <w:num w:numId="9" w16cid:durableId="465398361">
    <w:abstractNumId w:val="6"/>
  </w:num>
  <w:num w:numId="10" w16cid:durableId="1806969782">
    <w:abstractNumId w:val="4"/>
  </w:num>
  <w:num w:numId="11" w16cid:durableId="2017073080">
    <w:abstractNumId w:val="18"/>
  </w:num>
  <w:num w:numId="12" w16cid:durableId="1316300405">
    <w:abstractNumId w:val="10"/>
  </w:num>
  <w:num w:numId="13" w16cid:durableId="822893135">
    <w:abstractNumId w:val="7"/>
  </w:num>
  <w:num w:numId="14" w16cid:durableId="1311133942">
    <w:abstractNumId w:val="11"/>
  </w:num>
  <w:num w:numId="15" w16cid:durableId="278412038">
    <w:abstractNumId w:val="12"/>
  </w:num>
  <w:num w:numId="16" w16cid:durableId="2119717148">
    <w:abstractNumId w:val="15"/>
  </w:num>
  <w:num w:numId="17" w16cid:durableId="518589792">
    <w:abstractNumId w:val="16"/>
  </w:num>
  <w:num w:numId="18" w16cid:durableId="1995600930">
    <w:abstractNumId w:val="5"/>
  </w:num>
  <w:num w:numId="19" w16cid:durableId="824470072">
    <w:abstractNumId w:val="9"/>
  </w:num>
  <w:num w:numId="20" w16cid:durableId="418019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6A8"/>
    <w:rsid w:val="00011A90"/>
    <w:rsid w:val="0001301E"/>
    <w:rsid w:val="00026B22"/>
    <w:rsid w:val="00027307"/>
    <w:rsid w:val="0004580C"/>
    <w:rsid w:val="00047EDF"/>
    <w:rsid w:val="00060E4D"/>
    <w:rsid w:val="00070044"/>
    <w:rsid w:val="000711BF"/>
    <w:rsid w:val="00073B53"/>
    <w:rsid w:val="000762B8"/>
    <w:rsid w:val="00086A64"/>
    <w:rsid w:val="000903C3"/>
    <w:rsid w:val="00090D1B"/>
    <w:rsid w:val="000933D7"/>
    <w:rsid w:val="00097930"/>
    <w:rsid w:val="000E2E9B"/>
    <w:rsid w:val="00101427"/>
    <w:rsid w:val="001061EB"/>
    <w:rsid w:val="00112A4E"/>
    <w:rsid w:val="00135837"/>
    <w:rsid w:val="00144C73"/>
    <w:rsid w:val="00155986"/>
    <w:rsid w:val="00165A2E"/>
    <w:rsid w:val="0016603E"/>
    <w:rsid w:val="00176735"/>
    <w:rsid w:val="0018039F"/>
    <w:rsid w:val="0019622D"/>
    <w:rsid w:val="001976A8"/>
    <w:rsid w:val="001A1BF1"/>
    <w:rsid w:val="001B3182"/>
    <w:rsid w:val="001B6A9B"/>
    <w:rsid w:val="001C02E7"/>
    <w:rsid w:val="001C3D17"/>
    <w:rsid w:val="001D4DFD"/>
    <w:rsid w:val="001F468A"/>
    <w:rsid w:val="002161AF"/>
    <w:rsid w:val="00232504"/>
    <w:rsid w:val="00235AC5"/>
    <w:rsid w:val="002366B8"/>
    <w:rsid w:val="00240C44"/>
    <w:rsid w:val="00242E34"/>
    <w:rsid w:val="002468C1"/>
    <w:rsid w:val="0024714D"/>
    <w:rsid w:val="002474A2"/>
    <w:rsid w:val="002563E3"/>
    <w:rsid w:val="002609F5"/>
    <w:rsid w:val="00283D99"/>
    <w:rsid w:val="002875CE"/>
    <w:rsid w:val="002D11B8"/>
    <w:rsid w:val="002E09BB"/>
    <w:rsid w:val="002E166F"/>
    <w:rsid w:val="002E4C44"/>
    <w:rsid w:val="002F55EE"/>
    <w:rsid w:val="003231BD"/>
    <w:rsid w:val="003276D3"/>
    <w:rsid w:val="00327D9A"/>
    <w:rsid w:val="00335F7B"/>
    <w:rsid w:val="0033612F"/>
    <w:rsid w:val="00367A3C"/>
    <w:rsid w:val="00381A4E"/>
    <w:rsid w:val="0038354B"/>
    <w:rsid w:val="00385A9E"/>
    <w:rsid w:val="00390889"/>
    <w:rsid w:val="00392EE4"/>
    <w:rsid w:val="003B3DBA"/>
    <w:rsid w:val="003B76EE"/>
    <w:rsid w:val="003C3CAA"/>
    <w:rsid w:val="003D6A1E"/>
    <w:rsid w:val="003F13D6"/>
    <w:rsid w:val="004021DA"/>
    <w:rsid w:val="0041274F"/>
    <w:rsid w:val="004140BE"/>
    <w:rsid w:val="00417064"/>
    <w:rsid w:val="0042533F"/>
    <w:rsid w:val="004438AC"/>
    <w:rsid w:val="0046552F"/>
    <w:rsid w:val="00475418"/>
    <w:rsid w:val="0047560D"/>
    <w:rsid w:val="00481F1B"/>
    <w:rsid w:val="004849AA"/>
    <w:rsid w:val="00486460"/>
    <w:rsid w:val="00493633"/>
    <w:rsid w:val="004B2074"/>
    <w:rsid w:val="004D2D64"/>
    <w:rsid w:val="004D3509"/>
    <w:rsid w:val="004E6998"/>
    <w:rsid w:val="004F678E"/>
    <w:rsid w:val="0051005D"/>
    <w:rsid w:val="00510508"/>
    <w:rsid w:val="00514D42"/>
    <w:rsid w:val="005161F2"/>
    <w:rsid w:val="005163BB"/>
    <w:rsid w:val="00542AA4"/>
    <w:rsid w:val="00555470"/>
    <w:rsid w:val="00566640"/>
    <w:rsid w:val="0057785F"/>
    <w:rsid w:val="00585A63"/>
    <w:rsid w:val="005B6482"/>
    <w:rsid w:val="005B7210"/>
    <w:rsid w:val="005C13FA"/>
    <w:rsid w:val="005C6221"/>
    <w:rsid w:val="005E382B"/>
    <w:rsid w:val="005F6BB6"/>
    <w:rsid w:val="006117E8"/>
    <w:rsid w:val="006137DC"/>
    <w:rsid w:val="00625421"/>
    <w:rsid w:val="0066503D"/>
    <w:rsid w:val="00674BE3"/>
    <w:rsid w:val="006807B9"/>
    <w:rsid w:val="00683FDC"/>
    <w:rsid w:val="00686DE9"/>
    <w:rsid w:val="006B0933"/>
    <w:rsid w:val="006B2219"/>
    <w:rsid w:val="006C60C1"/>
    <w:rsid w:val="006D68C3"/>
    <w:rsid w:val="00717632"/>
    <w:rsid w:val="0072039B"/>
    <w:rsid w:val="0072796A"/>
    <w:rsid w:val="007315C2"/>
    <w:rsid w:val="00731DDC"/>
    <w:rsid w:val="00734445"/>
    <w:rsid w:val="00744FF1"/>
    <w:rsid w:val="00745917"/>
    <w:rsid w:val="007469DB"/>
    <w:rsid w:val="00755BB7"/>
    <w:rsid w:val="00763FD5"/>
    <w:rsid w:val="00765F62"/>
    <w:rsid w:val="007814F3"/>
    <w:rsid w:val="007821EE"/>
    <w:rsid w:val="00783762"/>
    <w:rsid w:val="00785B92"/>
    <w:rsid w:val="007919B3"/>
    <w:rsid w:val="00795070"/>
    <w:rsid w:val="007A544A"/>
    <w:rsid w:val="007B3D95"/>
    <w:rsid w:val="007B6BBB"/>
    <w:rsid w:val="007F3FC7"/>
    <w:rsid w:val="0080132B"/>
    <w:rsid w:val="008033DF"/>
    <w:rsid w:val="0081341F"/>
    <w:rsid w:val="00830B96"/>
    <w:rsid w:val="0084575D"/>
    <w:rsid w:val="00851355"/>
    <w:rsid w:val="00855220"/>
    <w:rsid w:val="008578AB"/>
    <w:rsid w:val="00883242"/>
    <w:rsid w:val="00886D31"/>
    <w:rsid w:val="008878B4"/>
    <w:rsid w:val="008A38D0"/>
    <w:rsid w:val="008B2E75"/>
    <w:rsid w:val="008D72D8"/>
    <w:rsid w:val="00912867"/>
    <w:rsid w:val="009159C4"/>
    <w:rsid w:val="00915EBF"/>
    <w:rsid w:val="00926BCF"/>
    <w:rsid w:val="00930F2C"/>
    <w:rsid w:val="00937E16"/>
    <w:rsid w:val="00964B98"/>
    <w:rsid w:val="00966396"/>
    <w:rsid w:val="009744DF"/>
    <w:rsid w:val="00974AEA"/>
    <w:rsid w:val="00986A49"/>
    <w:rsid w:val="009A636A"/>
    <w:rsid w:val="009B56B5"/>
    <w:rsid w:val="009E48EA"/>
    <w:rsid w:val="009E4FF4"/>
    <w:rsid w:val="009F0266"/>
    <w:rsid w:val="009F12DB"/>
    <w:rsid w:val="009F469E"/>
    <w:rsid w:val="009F5425"/>
    <w:rsid w:val="009F5932"/>
    <w:rsid w:val="009F7579"/>
    <w:rsid w:val="00A00C8C"/>
    <w:rsid w:val="00A02E93"/>
    <w:rsid w:val="00A07DC6"/>
    <w:rsid w:val="00A11BB3"/>
    <w:rsid w:val="00A31715"/>
    <w:rsid w:val="00A33798"/>
    <w:rsid w:val="00A35036"/>
    <w:rsid w:val="00A479C1"/>
    <w:rsid w:val="00A7057C"/>
    <w:rsid w:val="00A80B36"/>
    <w:rsid w:val="00A905D0"/>
    <w:rsid w:val="00A9173A"/>
    <w:rsid w:val="00A95851"/>
    <w:rsid w:val="00AC0830"/>
    <w:rsid w:val="00AC1BA0"/>
    <w:rsid w:val="00AC403D"/>
    <w:rsid w:val="00AC5E88"/>
    <w:rsid w:val="00AC7E0C"/>
    <w:rsid w:val="00AD5F1F"/>
    <w:rsid w:val="00AD6804"/>
    <w:rsid w:val="00AE446E"/>
    <w:rsid w:val="00AF495D"/>
    <w:rsid w:val="00B03F17"/>
    <w:rsid w:val="00B12CA0"/>
    <w:rsid w:val="00B16415"/>
    <w:rsid w:val="00B23A3F"/>
    <w:rsid w:val="00B3039A"/>
    <w:rsid w:val="00B40067"/>
    <w:rsid w:val="00B432E9"/>
    <w:rsid w:val="00B47CC8"/>
    <w:rsid w:val="00B50345"/>
    <w:rsid w:val="00B57311"/>
    <w:rsid w:val="00B57A7A"/>
    <w:rsid w:val="00B63D6A"/>
    <w:rsid w:val="00B90B9A"/>
    <w:rsid w:val="00B911C6"/>
    <w:rsid w:val="00B92E40"/>
    <w:rsid w:val="00B967C8"/>
    <w:rsid w:val="00BA23CE"/>
    <w:rsid w:val="00BC42A8"/>
    <w:rsid w:val="00BC638B"/>
    <w:rsid w:val="00BC697C"/>
    <w:rsid w:val="00BF4D62"/>
    <w:rsid w:val="00C025EF"/>
    <w:rsid w:val="00C14EE2"/>
    <w:rsid w:val="00C2246D"/>
    <w:rsid w:val="00C4183D"/>
    <w:rsid w:val="00C429E4"/>
    <w:rsid w:val="00C6427E"/>
    <w:rsid w:val="00C65637"/>
    <w:rsid w:val="00C735D6"/>
    <w:rsid w:val="00C754DE"/>
    <w:rsid w:val="00C76ACE"/>
    <w:rsid w:val="00CA3565"/>
    <w:rsid w:val="00CA4B63"/>
    <w:rsid w:val="00CC1A36"/>
    <w:rsid w:val="00CD37FF"/>
    <w:rsid w:val="00CD5902"/>
    <w:rsid w:val="00CE609B"/>
    <w:rsid w:val="00CE66F3"/>
    <w:rsid w:val="00CF43CF"/>
    <w:rsid w:val="00CF5559"/>
    <w:rsid w:val="00D131E0"/>
    <w:rsid w:val="00D15D69"/>
    <w:rsid w:val="00D24051"/>
    <w:rsid w:val="00D25224"/>
    <w:rsid w:val="00D446DF"/>
    <w:rsid w:val="00D548F2"/>
    <w:rsid w:val="00D558B0"/>
    <w:rsid w:val="00D836C4"/>
    <w:rsid w:val="00D94EEC"/>
    <w:rsid w:val="00D959EA"/>
    <w:rsid w:val="00D96A20"/>
    <w:rsid w:val="00DA6454"/>
    <w:rsid w:val="00DA6E74"/>
    <w:rsid w:val="00DB6D35"/>
    <w:rsid w:val="00DD2B59"/>
    <w:rsid w:val="00DE2502"/>
    <w:rsid w:val="00DE6470"/>
    <w:rsid w:val="00E116D0"/>
    <w:rsid w:val="00E16543"/>
    <w:rsid w:val="00E1758B"/>
    <w:rsid w:val="00E52E75"/>
    <w:rsid w:val="00E608B9"/>
    <w:rsid w:val="00E66BA1"/>
    <w:rsid w:val="00E75F20"/>
    <w:rsid w:val="00E81CA4"/>
    <w:rsid w:val="00E85E54"/>
    <w:rsid w:val="00E92A2E"/>
    <w:rsid w:val="00E9556F"/>
    <w:rsid w:val="00E961D0"/>
    <w:rsid w:val="00EC095A"/>
    <w:rsid w:val="00EC5C2F"/>
    <w:rsid w:val="00EC5F86"/>
    <w:rsid w:val="00EF05CE"/>
    <w:rsid w:val="00EF6932"/>
    <w:rsid w:val="00F02E47"/>
    <w:rsid w:val="00F1318C"/>
    <w:rsid w:val="00F175E7"/>
    <w:rsid w:val="00F2206D"/>
    <w:rsid w:val="00F268E6"/>
    <w:rsid w:val="00F54937"/>
    <w:rsid w:val="00F55235"/>
    <w:rsid w:val="00F729B9"/>
    <w:rsid w:val="00F91E81"/>
    <w:rsid w:val="00FB4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F6AB"/>
  <w15:docId w15:val="{002CADF8-1EE8-4793-866A-7C438C50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9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1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735D6"/>
    <w:pPr>
      <w:ind w:left="720"/>
      <w:contextualSpacing/>
    </w:pPr>
  </w:style>
  <w:style w:type="paragraph" w:styleId="Nagwek">
    <w:name w:val="header"/>
    <w:basedOn w:val="Normalny"/>
    <w:link w:val="NagwekZnak"/>
    <w:uiPriority w:val="99"/>
    <w:unhideWhenUsed/>
    <w:rsid w:val="00076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62B8"/>
  </w:style>
  <w:style w:type="paragraph" w:styleId="Stopka">
    <w:name w:val="footer"/>
    <w:basedOn w:val="Normalny"/>
    <w:link w:val="StopkaZnak"/>
    <w:uiPriority w:val="99"/>
    <w:unhideWhenUsed/>
    <w:rsid w:val="00076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62B8"/>
  </w:style>
  <w:style w:type="paragraph" w:styleId="Tekstdymka">
    <w:name w:val="Balloon Text"/>
    <w:basedOn w:val="Normalny"/>
    <w:link w:val="TekstdymkaZnak"/>
    <w:uiPriority w:val="99"/>
    <w:semiHidden/>
    <w:unhideWhenUsed/>
    <w:rsid w:val="00CE66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66F3"/>
    <w:rPr>
      <w:rFonts w:ascii="Tahoma" w:hAnsi="Tahoma" w:cs="Tahoma"/>
      <w:sz w:val="16"/>
      <w:szCs w:val="16"/>
    </w:rPr>
  </w:style>
  <w:style w:type="character" w:customStyle="1" w:styleId="fontstyle01">
    <w:name w:val="fontstyle01"/>
    <w:basedOn w:val="Domylnaczcionkaakapitu"/>
    <w:rsid w:val="00C6563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7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3A25-6C49-4F2E-8C0C-B1114BE6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4</Pages>
  <Words>1233</Words>
  <Characters>7400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Joanna Zagórska-Kwaśniak</cp:lastModifiedBy>
  <cp:revision>177</cp:revision>
  <cp:lastPrinted>2019-03-26T08:07:00Z</cp:lastPrinted>
  <dcterms:created xsi:type="dcterms:W3CDTF">2018-03-10T20:26:00Z</dcterms:created>
  <dcterms:modified xsi:type="dcterms:W3CDTF">2023-03-21T11:25:00Z</dcterms:modified>
</cp:coreProperties>
</file>